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67" w:hanging="567"/>
        <w:jc w:val="center"/>
        <w:rPr>
          <w:rFonts w:ascii="Arial" w:hAnsi="Arial" w:cs="Arial"/>
          <w:b/>
          <w:b/>
          <w:bCs/>
          <w:color w:val="000000"/>
          <w:sz w:val="20"/>
          <w:szCs w:val="20"/>
        </w:rPr>
      </w:pPr>
      <w:r>
        <w:rPr/>
        <w:drawing>
          <wp:inline distT="0" distB="0" distL="0" distR="0">
            <wp:extent cx="676910" cy="725170"/>
            <wp:effectExtent l="0" t="0" r="0" b="0"/>
            <wp:docPr id="1"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
                    <pic:cNvPicPr>
                      <a:picLocks noChangeAspect="1" noChangeArrowheads="1"/>
                    </pic:cNvPicPr>
                  </pic:nvPicPr>
                  <pic:blipFill>
                    <a:blip r:embed="rId2"/>
                    <a:stretch>
                      <a:fillRect/>
                    </a:stretch>
                  </pic:blipFill>
                  <pic:spPr bwMode="auto">
                    <a:xfrm>
                      <a:off x="0" y="0"/>
                      <a:ext cx="676910" cy="725170"/>
                    </a:xfrm>
                    <a:prstGeom prst="rect">
                      <a:avLst/>
                    </a:prstGeom>
                  </pic:spPr>
                </pic:pic>
              </a:graphicData>
            </a:graphic>
          </wp:inline>
        </w:drawing>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Standard"/>
        <w:spacing w:before="113" w:after="113"/>
        <w:jc w:val="center"/>
        <w:rPr>
          <w:rFonts w:ascii="Arial" w:hAnsi="Arial" w:cs="Arial"/>
          <w:b/>
          <w:b/>
          <w:bCs/>
        </w:rPr>
      </w:pPr>
      <w:r>
        <w:rPr>
          <w:rFonts w:cs="Arial" w:ascii="Arial" w:hAnsi="Arial"/>
          <w:b/>
          <w:bCs/>
        </w:rPr>
        <w:t>MINISTÉRIO DA EDUCAÇÃO</w:t>
      </w:r>
    </w:p>
    <w:p>
      <w:pPr>
        <w:pStyle w:val="Standard"/>
        <w:spacing w:before="113" w:after="113"/>
        <w:jc w:val="center"/>
        <w:rPr>
          <w:rFonts w:ascii="Arial" w:hAnsi="Arial" w:cs="Arial"/>
          <w:b/>
          <w:b/>
          <w:bCs/>
        </w:rPr>
      </w:pPr>
      <w:r>
        <w:rPr>
          <w:rFonts w:cs="Arial" w:ascii="Arial" w:hAnsi="Arial"/>
          <w:b/>
          <w:bCs/>
        </w:rPr>
        <w:t>UNIVERSIDADE FEDERAL DA FRONTEIRA SUL</w:t>
      </w:r>
    </w:p>
    <w:p>
      <w:pPr>
        <w:pStyle w:val="Standard"/>
        <w:spacing w:before="113" w:after="113"/>
        <w:jc w:val="center"/>
        <w:rPr>
          <w:rFonts w:ascii="Arial" w:hAnsi="Arial" w:cs="Arial"/>
          <w:b/>
          <w:b/>
          <w:bCs/>
        </w:rPr>
      </w:pPr>
      <w:r>
        <w:rPr>
          <w:rFonts w:cs="Arial" w:ascii="Arial" w:hAnsi="Arial"/>
          <w:b/>
          <w:bCs/>
        </w:rPr>
        <w:t>PRÓ-REITORIA DE ADMINISTRAÇÃO E INFRAESTRUTURA</w:t>
      </w:r>
    </w:p>
    <w:p>
      <w:pPr>
        <w:pStyle w:val="Standard"/>
        <w:spacing w:before="113" w:after="113"/>
        <w:jc w:val="center"/>
        <w:rPr>
          <w:rFonts w:ascii="Arial" w:hAnsi="Arial" w:cs="Arial"/>
        </w:rPr>
      </w:pPr>
      <w:r>
        <w:rPr>
          <w:rFonts w:eastAsia="Arial" w:cs="Arial" w:ascii="Arial" w:hAnsi="Arial"/>
          <w:i/>
          <w:iCs/>
        </w:rPr>
        <w:t>“</w:t>
      </w:r>
      <w:r>
        <w:rPr>
          <w:rFonts w:eastAsia="Arial" w:cs="Arial" w:ascii="Arial" w:hAnsi="Arial"/>
          <w:i/>
          <w:iCs/>
        </w:rPr>
        <w:t>Superintendência</w:t>
      </w:r>
      <w:r>
        <w:rPr>
          <w:rFonts w:cs="Arial" w:ascii="Arial" w:hAnsi="Arial"/>
          <w:i/>
          <w:iCs/>
        </w:rPr>
        <w:t xml:space="preserve"> de Compras e Licitações”</w:t>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jc w:val="center"/>
        <w:rPr>
          <w:rFonts w:ascii="Arial" w:hAnsi="Arial" w:cs="Arial"/>
          <w:b/>
          <w:b/>
          <w:bCs/>
          <w:color w:val="000000"/>
          <w:sz w:val="20"/>
          <w:szCs w:val="20"/>
        </w:rPr>
      </w:pPr>
      <w:r>
        <w:rPr>
          <w:rFonts w:cs="Arial" w:ascii="Arial" w:hAnsi="Arial"/>
          <w:b/>
          <w:bCs/>
          <w:color w:val="000000"/>
          <w:sz w:val="20"/>
          <w:szCs w:val="20"/>
        </w:rPr>
        <w:t>PREGÃO ELETRÔNICO</w:t>
      </w:r>
    </w:p>
    <w:p>
      <w:pPr>
        <w:pStyle w:val="Normal"/>
        <w:jc w:val="center"/>
        <w:rPr>
          <w:rFonts w:ascii="Arial" w:hAnsi="Arial" w:cs="Arial"/>
          <w:b/>
          <w:b/>
          <w:bCs/>
          <w:color w:val="000000"/>
          <w:sz w:val="20"/>
          <w:szCs w:val="20"/>
        </w:rPr>
      </w:pPr>
      <w:r>
        <w:rPr>
          <w:rFonts w:cs="Arial" w:ascii="Arial" w:hAnsi="Arial"/>
          <w:b/>
          <w:bCs/>
          <w:color w:val="000000"/>
          <w:sz w:val="20"/>
          <w:szCs w:val="20"/>
        </w:rPr>
        <w:t>SISTEMA DE REGISTRO DE PREÇOS</w:t>
      </w:r>
    </w:p>
    <w:p>
      <w:pPr>
        <w:pStyle w:val="Normal"/>
        <w:jc w:val="center"/>
        <w:rPr>
          <w:rFonts w:ascii="Arial" w:hAnsi="Arial" w:cs="Arial"/>
          <w:b/>
          <w:b/>
          <w:bCs/>
          <w:i/>
          <w:i/>
          <w:color w:val="FF0000"/>
          <w:sz w:val="20"/>
          <w:szCs w:val="20"/>
        </w:rPr>
      </w:pPr>
      <w:r>
        <w:rPr>
          <w:rFonts w:cs="Arial" w:ascii="Arial" w:hAnsi="Arial"/>
          <w:b/>
          <w:bCs/>
          <w:i/>
          <w:color w:val="FF0000"/>
          <w:sz w:val="20"/>
          <w:szCs w:val="20"/>
        </w:rPr>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jc w:val="center"/>
        <w:rPr>
          <w:rFonts w:ascii="Arial" w:hAnsi="Arial" w:cs="Arial"/>
          <w:b/>
          <w:b/>
          <w:bCs/>
          <w:color w:val="000000"/>
          <w:sz w:val="20"/>
          <w:szCs w:val="20"/>
        </w:rPr>
      </w:pPr>
      <w:r>
        <w:rPr>
          <w:rFonts w:cs="Arial" w:ascii="Arial" w:hAnsi="Arial"/>
          <w:b/>
          <w:bCs/>
          <w:color w:val="000000"/>
          <w:sz w:val="20"/>
          <w:szCs w:val="20"/>
        </w:rPr>
        <w:t>PREGÃO ELETRÔNICO Nº 06/2018</w:t>
      </w:r>
    </w:p>
    <w:p>
      <w:pPr>
        <w:pStyle w:val="Normal"/>
        <w:jc w:val="center"/>
        <w:rPr>
          <w:rFonts w:ascii="Arial" w:hAnsi="Arial" w:cs="Arial"/>
          <w:b/>
          <w:b/>
          <w:bCs/>
          <w:color w:val="000000"/>
          <w:sz w:val="20"/>
          <w:szCs w:val="20"/>
        </w:rPr>
      </w:pPr>
      <w:r>
        <w:rPr>
          <w:rFonts w:cs="Arial" w:ascii="Arial" w:hAnsi="Arial"/>
          <w:b/>
          <w:bCs/>
          <w:color w:val="000000"/>
          <w:sz w:val="20"/>
          <w:szCs w:val="20"/>
        </w:rPr>
        <w:t>Processo nº 23205.000756/2018-95</w:t>
      </w:r>
    </w:p>
    <w:p>
      <w:pPr>
        <w:pStyle w:val="Normal"/>
        <w:jc w:val="center"/>
        <w:rPr>
          <w:rFonts w:ascii="Arial" w:hAnsi="Arial" w:cs="Arial"/>
          <w:bCs/>
          <w:color w:val="000000"/>
          <w:sz w:val="20"/>
          <w:szCs w:val="20"/>
        </w:rPr>
      </w:pPr>
      <w:r>
        <w:rPr>
          <w:rFonts w:cs="Arial" w:ascii="Arial" w:hAnsi="Arial"/>
          <w:bCs/>
          <w:color w:val="000000"/>
          <w:sz w:val="20"/>
          <w:szCs w:val="20"/>
        </w:rPr>
      </w:r>
    </w:p>
    <w:p>
      <w:pPr>
        <w:pStyle w:val="Western"/>
        <w:spacing w:lineRule="auto" w:line="276" w:beforeAutospacing="0" w:before="113" w:after="113"/>
        <w:jc w:val="both"/>
        <w:rPr>
          <w:rFonts w:ascii="Arial" w:hAnsi="Arial" w:cs="Arial"/>
          <w:color w:val="000000"/>
          <w:sz w:val="20"/>
          <w:szCs w:val="20"/>
        </w:rPr>
      </w:pPr>
      <w:r>
        <w:rPr>
          <w:rFonts w:cs="Arial" w:ascii="Arial" w:hAnsi="Arial"/>
          <w:color w:val="000000"/>
          <w:sz w:val="20"/>
          <w:szCs w:val="20"/>
        </w:rPr>
        <w:t xml:space="preserve">Torna-se público, para conhecimento dos interessados, que a Universidade Federal da Fronteira Sul – UFFS, sediado(a) Avenida Fernando Machado, 108 E, Bairro Centro, em Chapecó/SC, realizará licitação para REGISTRO DE PREÇOS, na modalidade </w:t>
      </w:r>
      <w:r>
        <w:rPr>
          <w:rFonts w:cs="Arial" w:ascii="Arial" w:hAnsi="Arial"/>
          <w:bCs/>
          <w:color w:val="000000"/>
          <w:sz w:val="20"/>
          <w:szCs w:val="20"/>
        </w:rPr>
        <w:t xml:space="preserve">PREGÃO, </w:t>
      </w:r>
      <w:r>
        <w:rPr>
          <w:rFonts w:cs="Arial" w:ascii="Arial" w:hAnsi="Arial"/>
          <w:color w:val="000000"/>
          <w:sz w:val="20"/>
          <w:szCs w:val="20"/>
        </w:rPr>
        <w:t>na forma</w:t>
      </w:r>
      <w:r>
        <w:rPr>
          <w:rFonts w:cs="Arial" w:ascii="Arial" w:hAnsi="Arial"/>
          <w:bCs/>
          <w:color w:val="000000"/>
          <w:sz w:val="20"/>
          <w:szCs w:val="20"/>
        </w:rPr>
        <w:t xml:space="preserve"> ELETRÔNICA, </w:t>
      </w:r>
      <w:r>
        <w:rPr>
          <w:rFonts w:cs="Arial" w:ascii="Arial" w:hAnsi="Arial"/>
          <w:b/>
          <w:bCs/>
          <w:color w:val="000000"/>
          <w:sz w:val="20"/>
          <w:szCs w:val="20"/>
        </w:rPr>
        <w:t>do</w:t>
      </w:r>
      <w:r>
        <w:rPr>
          <w:rFonts w:cs="Arial" w:ascii="Arial" w:hAnsi="Arial"/>
          <w:b/>
          <w:color w:val="000000"/>
          <w:sz w:val="20"/>
          <w:szCs w:val="20"/>
        </w:rPr>
        <w:t xml:space="preserve"> </w:t>
      </w:r>
      <w:r>
        <w:rPr>
          <w:rFonts w:cs="Arial" w:ascii="Arial" w:hAnsi="Arial"/>
          <w:b/>
          <w:bCs/>
          <w:iCs/>
          <w:color w:val="000000"/>
          <w:sz w:val="20"/>
          <w:szCs w:val="20"/>
        </w:rPr>
        <w:t>tipo menor preço</w:t>
      </w:r>
      <w:r>
        <w:rPr>
          <w:rFonts w:cs="Arial" w:ascii="Arial" w:hAnsi="Arial"/>
          <w:b/>
          <w:bCs/>
          <w:color w:val="000000"/>
          <w:sz w:val="20"/>
          <w:szCs w:val="20"/>
        </w:rPr>
        <w:t>,</w:t>
      </w:r>
      <w:r>
        <w:rPr>
          <w:rFonts w:cs="Arial" w:ascii="Arial" w:hAnsi="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Pr>
          <w:rFonts w:cs="Arial" w:ascii="Arial" w:hAnsi="Arial"/>
          <w:sz w:val="20"/>
          <w:szCs w:val="20"/>
        </w:rPr>
        <w:t>8.538, de 06 de outubro de 2015</w:t>
      </w:r>
      <w:r>
        <w:rPr>
          <w:rFonts w:cs="Arial" w:ascii="Arial" w:hAnsi="Arial"/>
          <w:color w:val="000000"/>
          <w:sz w:val="20"/>
          <w:szCs w:val="20"/>
        </w:rPr>
        <w:t>, aplicando-se, subsidiariamente, a Lei nº 8.666, de 21 de junho de 1993, e as exigências estabelecidas neste Edital.</w:t>
      </w:r>
    </w:p>
    <w:p>
      <w:pPr>
        <w:pStyle w:val="Normal"/>
        <w:rPr>
          <w:rFonts w:ascii="Arial" w:hAnsi="Arial" w:cs="Arial"/>
          <w:sz w:val="20"/>
          <w:szCs w:val="20"/>
        </w:rPr>
      </w:pPr>
      <w:r>
        <w:rPr>
          <w:rFonts w:cs="Arial" w:ascii="Arial" w:hAnsi="Arial"/>
          <w:color w:val="000000"/>
          <w:sz w:val="20"/>
          <w:szCs w:val="20"/>
        </w:rPr>
        <w:t xml:space="preserve">Data da sessão: </w:t>
      </w:r>
      <w:r>
        <w:rPr>
          <w:rFonts w:cs="Arial" w:ascii="Arial" w:hAnsi="Arial"/>
          <w:b/>
          <w:color w:val="000000"/>
          <w:sz w:val="20"/>
          <w:szCs w:val="20"/>
        </w:rPr>
        <w:t>17/04/2018</w:t>
      </w:r>
    </w:p>
    <w:p>
      <w:pPr>
        <w:pStyle w:val="Normal"/>
        <w:rPr>
          <w:rFonts w:ascii="Arial" w:hAnsi="Arial" w:cs="Arial"/>
          <w:sz w:val="20"/>
          <w:szCs w:val="20"/>
        </w:rPr>
      </w:pPr>
      <w:r>
        <w:rPr>
          <w:rFonts w:cs="Arial" w:ascii="Arial" w:hAnsi="Arial"/>
          <w:color w:val="000000"/>
          <w:sz w:val="20"/>
          <w:szCs w:val="20"/>
        </w:rPr>
        <w:t xml:space="preserve">Horário: </w:t>
      </w:r>
      <w:r>
        <w:rPr>
          <w:rFonts w:cs="Arial" w:ascii="Arial" w:hAnsi="Arial"/>
          <w:b/>
          <w:color w:val="000000"/>
          <w:sz w:val="20"/>
          <w:szCs w:val="20"/>
        </w:rPr>
        <w:t>09h15min</w:t>
      </w:r>
    </w:p>
    <w:p>
      <w:pPr>
        <w:pStyle w:val="Normal"/>
        <w:spacing w:lineRule="auto" w:line="276"/>
        <w:rPr>
          <w:rFonts w:ascii="Arial" w:hAnsi="Arial" w:cs="Arial"/>
          <w:sz w:val="20"/>
          <w:szCs w:val="20"/>
        </w:rPr>
      </w:pPr>
      <w:r>
        <w:rPr>
          <w:rFonts w:cs="Arial" w:ascii="Arial" w:hAnsi="Arial"/>
          <w:color w:val="000000"/>
          <w:sz w:val="20"/>
          <w:szCs w:val="20"/>
        </w:rPr>
        <w:t>Local: Portal de Compras do Governo Federal – www.comprasgovernamentais.gov.br</w:t>
      </w:r>
    </w:p>
    <w:p>
      <w:pPr>
        <w:pStyle w:val="Normal"/>
        <w:snapToGrid w:val="false"/>
        <w:spacing w:lineRule="auto" w:line="276" w:before="0" w:after="12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0" w:after="120"/>
        <w:ind w:hanging="284"/>
        <w:jc w:val="both"/>
        <w:rPr>
          <w:rFonts w:ascii="Arial" w:hAnsi="Arial" w:cs="Arial"/>
          <w:b/>
          <w:b/>
          <w:color w:val="000000"/>
          <w:sz w:val="20"/>
          <w:szCs w:val="20"/>
        </w:rPr>
      </w:pPr>
      <w:r>
        <w:rPr>
          <w:rFonts w:cs="Arial" w:ascii="Arial" w:hAnsi="Arial"/>
          <w:b/>
          <w:color w:val="000000"/>
          <w:sz w:val="20"/>
          <w:szCs w:val="20"/>
        </w:rPr>
        <w:t>DO OBJETO</w:t>
      </w:r>
    </w:p>
    <w:p>
      <w:pPr>
        <w:pStyle w:val="Normal"/>
        <w:numPr>
          <w:ilvl w:val="1"/>
          <w:numId w:val="1"/>
        </w:numPr>
        <w:spacing w:lineRule="auto" w:line="276" w:before="120" w:after="120"/>
        <w:ind w:left="0" w:firstLine="567"/>
        <w:jc w:val="both"/>
        <w:rPr>
          <w:rFonts w:ascii="Arial" w:hAnsi="Arial" w:cs="Arial"/>
          <w:color w:val="000000"/>
          <w:sz w:val="20"/>
          <w:szCs w:val="20"/>
        </w:rPr>
      </w:pPr>
      <w:r>
        <w:rPr>
          <w:rFonts w:cs="Arial" w:ascii="Arial" w:hAnsi="Arial"/>
          <w:color w:val="000000"/>
          <w:sz w:val="20"/>
          <w:szCs w:val="20"/>
        </w:rPr>
        <w:t xml:space="preserve">O objeto da presente licitação é o </w:t>
      </w:r>
      <w:r>
        <w:rPr>
          <w:rFonts w:cs="Arial" w:ascii="Arial" w:hAnsi="Arial"/>
          <w:b/>
          <w:bCs/>
          <w:sz w:val="20"/>
          <w:szCs w:val="20"/>
        </w:rPr>
        <w:t>REGISTRO DE PREÇOS</w:t>
      </w:r>
      <w:r>
        <w:rPr>
          <w:rFonts w:cs="Arial" w:ascii="Arial" w:hAnsi="Arial"/>
          <w:sz w:val="20"/>
          <w:szCs w:val="20"/>
        </w:rPr>
        <w:t xml:space="preserve">, visando a </w:t>
      </w:r>
      <w:r>
        <w:rPr>
          <w:rFonts w:cs="Arial" w:ascii="Arial" w:hAnsi="Arial"/>
          <w:b/>
          <w:bCs/>
          <w:sz w:val="20"/>
          <w:szCs w:val="20"/>
        </w:rPr>
        <w:t>aquisição de gases especiais, medicinais, industriais, gás GLP, nitrogênio líquido e cilindros para os Campi da Universidade Federal da Fronteira Sul – UFFS</w:t>
      </w:r>
      <w:r>
        <w:rPr>
          <w:rFonts w:cs="Arial" w:ascii="Arial" w:hAnsi="Arial"/>
          <w:color w:val="000000"/>
          <w:sz w:val="20"/>
          <w:szCs w:val="20"/>
        </w:rPr>
        <w:t>, conforme condições, quantidades e exigências estabelecidas neste Edital e s</w:t>
      </w:r>
      <w:bookmarkStart w:id="0" w:name="_GoBack"/>
      <w:bookmarkEnd w:id="0"/>
      <w:r>
        <w:rPr>
          <w:rFonts w:cs="Arial" w:ascii="Arial" w:hAnsi="Arial"/>
          <w:color w:val="000000"/>
          <w:sz w:val="20"/>
          <w:szCs w:val="20"/>
        </w:rPr>
        <w:t>eus anexos.</w:t>
      </w:r>
    </w:p>
    <w:p>
      <w:pPr>
        <w:pStyle w:val="Normal"/>
        <w:numPr>
          <w:ilvl w:val="1"/>
          <w:numId w:val="1"/>
        </w:numPr>
        <w:spacing w:lineRule="auto" w:line="276" w:before="120" w:after="120"/>
        <w:ind w:left="567" w:hanging="0"/>
        <w:jc w:val="both"/>
        <w:rPr>
          <w:rFonts w:ascii="Arial" w:hAnsi="Arial" w:cs="Arial"/>
          <w:color w:val="000000"/>
          <w:sz w:val="20"/>
          <w:szCs w:val="20"/>
        </w:rPr>
      </w:pPr>
      <w:r>
        <w:rPr>
          <w:rFonts w:cs="Arial" w:ascii="Arial" w:hAnsi="Arial"/>
          <w:color w:val="000000"/>
          <w:sz w:val="20"/>
          <w:szCs w:val="20"/>
        </w:rPr>
        <w:t>Para os itens que necessitam de cilindro os mesmos serão fornecido em regime de COMODATO.</w:t>
      </w:r>
    </w:p>
    <w:p>
      <w:pPr>
        <w:pStyle w:val="Normal"/>
        <w:numPr>
          <w:ilvl w:val="1"/>
          <w:numId w:val="1"/>
        </w:numPr>
        <w:spacing w:lineRule="auto" w:line="276" w:before="120" w:after="120"/>
        <w:ind w:left="0" w:firstLine="567"/>
        <w:jc w:val="both"/>
        <w:rPr>
          <w:rFonts w:ascii="Arial" w:hAnsi="Arial" w:cs="Arial"/>
          <w:color w:val="000000"/>
          <w:sz w:val="20"/>
          <w:szCs w:val="20"/>
        </w:rPr>
      </w:pPr>
      <w:r>
        <w:rPr>
          <w:rFonts w:cs="Arial" w:ascii="Arial" w:hAnsi="Arial"/>
          <w:color w:val="000000"/>
          <w:sz w:val="20"/>
          <w:szCs w:val="20"/>
        </w:rPr>
        <w:t>A licitação será dividida em itens e grupos, formados por um ou mais itens, conforme tabela constante no Termo de Referência, facultando-se ao licitante a participação em quantos grupos forem de seu interesse, devendo oferecer proposta para todos os itens que o compõem.</w:t>
      </w:r>
    </w:p>
    <w:p>
      <w:pPr>
        <w:pStyle w:val="Normal"/>
        <w:spacing w:lineRule="auto" w:line="276" w:before="120" w:after="120"/>
        <w:ind w:firstLine="567"/>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tabs>
          <w:tab w:val="left" w:pos="284" w:leader="none"/>
        </w:tabs>
        <w:spacing w:lineRule="auto" w:line="276" w:before="120" w:after="120"/>
        <w:ind w:left="0" w:hanging="0"/>
        <w:jc w:val="both"/>
        <w:rPr/>
      </w:pPr>
      <w:r>
        <w:rPr>
          <w:rFonts w:cs="Arial" w:ascii="Arial" w:hAnsi="Arial"/>
          <w:b/>
          <w:sz w:val="20"/>
          <w:szCs w:val="20"/>
          <w:lang w:eastAsia="en-US"/>
        </w:rPr>
        <w:t xml:space="preserve">DA ADESÃO À ATA DE REGISTRO DE PREÇOS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adesões à ata de registro de preços são limitadas, na totalidade, ao máximo quíntuplo do quantitativo de cada item registrado na ata de registro de preços para o órgão gerenciador e órgãos participantes, independente do número de órgãos não participantes que eventualmente aderirem.</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Após a autorização do órgão gerenciador, o órgão não participante deverá efetivar a contratação solicitada em até noventa dias, observado o prazo de validade da Ata de Registro de Preços.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pPr>
        <w:pStyle w:val="Normal"/>
        <w:spacing w:lineRule="auto" w:line="276" w:before="0" w:after="120"/>
        <w:jc w:val="both"/>
        <w:rPr>
          <w:rFonts w:ascii="Arial" w:hAnsi="Arial" w:cs="Arial"/>
          <w:i/>
          <w:i/>
          <w:color w:val="FF0000"/>
          <w:sz w:val="20"/>
          <w:szCs w:val="20"/>
        </w:rPr>
      </w:pPr>
      <w:r>
        <w:rPr>
          <w:rFonts w:cs="Arial" w:ascii="Arial" w:hAnsi="Arial"/>
          <w:i/>
          <w:color w:val="FF0000"/>
          <w:sz w:val="20"/>
          <w:szCs w:val="20"/>
        </w:rPr>
      </w:r>
    </w:p>
    <w:p>
      <w:pPr>
        <w:pStyle w:val="Normal"/>
        <w:numPr>
          <w:ilvl w:val="0"/>
          <w:numId w:val="1"/>
        </w:numPr>
        <w:tabs>
          <w:tab w:val="left" w:pos="284" w:leader="none"/>
        </w:tabs>
        <w:spacing w:lineRule="auto" w:line="276" w:before="120" w:after="120"/>
        <w:ind w:left="0" w:hanging="0"/>
        <w:jc w:val="both"/>
        <w:rPr>
          <w:rFonts w:ascii="Arial" w:hAnsi="Arial" w:cs="Arial"/>
          <w:b/>
          <w:b/>
          <w:sz w:val="20"/>
          <w:szCs w:val="20"/>
          <w:lang w:eastAsia="en-US"/>
        </w:rPr>
      </w:pPr>
      <w:r>
        <w:rPr>
          <w:rFonts w:cs="Arial" w:ascii="Arial" w:hAnsi="Arial"/>
          <w:b/>
          <w:sz w:val="20"/>
          <w:szCs w:val="20"/>
          <w:lang w:eastAsia="en-US"/>
        </w:rPr>
        <w:t>DO CREDENCIAMENTO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Credenciamento é o nível básico do registro cadastral no SICAF, que permite a participação dos interessados na modalidade licitatória Pregão, em sua forma eletrônica.</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cadastro no SICAF poderá ser iniciado no Portal de Compras do Governo Federal, no sítio www.comprasgovernamentais.gov.br, com a solicitação de login e senha pelo interessado.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 perda da senha ou a quebra de sigilo deverão ser comunicadas imediatamente ao provedor do sistema para imediato bloqueio de acesso.</w:t>
      </w:r>
    </w:p>
    <w:p>
      <w:pPr>
        <w:pStyle w:val="Normal"/>
        <w:snapToGrid w:val="false"/>
        <w:spacing w:lineRule="auto" w:line="276" w:before="120" w:after="120"/>
        <w:ind w:left="425" w:hanging="0"/>
        <w:jc w:val="both"/>
        <w:rPr>
          <w:rFonts w:ascii="Arial" w:hAnsi="Arial" w:cs="Arial"/>
          <w:bCs/>
          <w:color w:val="000000"/>
          <w:sz w:val="20"/>
          <w:szCs w:val="20"/>
        </w:rPr>
      </w:pPr>
      <w:r>
        <w:rPr>
          <w:rFonts w:cs="Arial" w:ascii="Arial" w:hAnsi="Arial"/>
          <w:bCs/>
          <w:color w:val="000000"/>
          <w:sz w:val="20"/>
          <w:szCs w:val="20"/>
        </w:rPr>
      </w:r>
    </w:p>
    <w:p>
      <w:pPr>
        <w:pStyle w:val="Normal"/>
        <w:numPr>
          <w:ilvl w:val="0"/>
          <w:numId w:val="1"/>
        </w:numPr>
        <w:tabs>
          <w:tab w:val="left" w:pos="284" w:leader="none"/>
        </w:tabs>
        <w:spacing w:lineRule="auto" w:line="276" w:before="120" w:after="120"/>
        <w:ind w:left="0" w:hanging="0"/>
        <w:jc w:val="both"/>
        <w:rPr>
          <w:rFonts w:ascii="Arial" w:hAnsi="Arial" w:cs="Arial"/>
          <w:b/>
          <w:b/>
          <w:sz w:val="20"/>
          <w:szCs w:val="20"/>
          <w:lang w:eastAsia="en-US"/>
        </w:rPr>
      </w:pPr>
      <w:r>
        <w:rPr>
          <w:rFonts w:cs="Arial" w:ascii="Arial" w:hAnsi="Arial"/>
          <w:b/>
          <w:sz w:val="20"/>
          <w:szCs w:val="20"/>
          <w:lang w:eastAsia="en-US"/>
        </w:rPr>
        <w:t>DA PARTICIPAÇÃO NO PREGÃO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Poderão participar deste Pregão interessados cujo ramo de atividade seja compatível com o objeto desta licitação, e que estejam com Credenciamento regular no Sistema de Cadastramento Unificado de Fornecedores – SICAF, conforme disposto no artigo 10º do Decreto nº 8.538/2015.</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Não poderão participar desta licitação interessados: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proibidos de participar de licitações e celebrar contratos administrativos, na forma da legislação vigente;</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estrangeiros que não tenham representação legal no Brasil com poderes expressos para receber citação e responder administrativa ou judicialmente;</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que se enquadrem nas vedações previstas no artigo 9º da Lei nº 8.666, de 1993;</w:t>
      </w:r>
    </w:p>
    <w:p>
      <w:pPr>
        <w:pStyle w:val="Normal"/>
        <w:numPr>
          <w:ilvl w:val="2"/>
          <w:numId w:val="1"/>
        </w:numPr>
        <w:snapToGrid w:val="false"/>
        <w:spacing w:lineRule="auto" w:line="276" w:before="120" w:after="120"/>
        <w:ind w:left="0" w:hanging="0"/>
        <w:jc w:val="both"/>
        <w:rPr>
          <w:rFonts w:ascii="Arial" w:hAnsi="Arial" w:eastAsia="Zurich BT" w:cs="Arial"/>
          <w:bCs/>
          <w:color w:val="000000"/>
          <w:sz w:val="20"/>
          <w:szCs w:val="20"/>
        </w:rPr>
      </w:pPr>
      <w:r>
        <w:rPr>
          <w:rFonts w:cs="Arial" w:ascii="Arial" w:hAnsi="Arial"/>
          <w:sz w:val="20"/>
          <w:szCs w:val="20"/>
        </w:rPr>
        <w:t xml:space="preserve"> </w:t>
      </w:r>
      <w:r>
        <w:rPr>
          <w:rFonts w:cs="Arial" w:ascii="Arial" w:hAnsi="Arial"/>
          <w:color w:val="000000"/>
          <w:sz w:val="20"/>
          <w:szCs w:val="20"/>
        </w:rPr>
        <w:t>que estejam sob falência, em recuperação judicial ou extrajudicial, concurso de credores, concordata ou insolvência, em processo de dissolução ou liquidação;</w:t>
      </w:r>
    </w:p>
    <w:p>
      <w:pPr>
        <w:pStyle w:val="Normal"/>
        <w:numPr>
          <w:ilvl w:val="2"/>
          <w:numId w:val="1"/>
        </w:numPr>
        <w:snapToGrid w:val="false"/>
        <w:spacing w:lineRule="auto" w:line="276" w:before="120" w:after="120"/>
        <w:ind w:left="0" w:hanging="0"/>
        <w:jc w:val="both"/>
        <w:rPr>
          <w:rFonts w:ascii="Arial" w:hAnsi="Arial" w:eastAsia="Zurich BT" w:cs="Arial"/>
          <w:bCs/>
          <w:color w:val="0000FF"/>
          <w:sz w:val="20"/>
          <w:szCs w:val="20"/>
        </w:rPr>
      </w:pPr>
      <w:r>
        <w:rPr>
          <w:rFonts w:cs="Arial" w:ascii="Arial" w:hAnsi="Arial"/>
          <w:sz w:val="20"/>
          <w:szCs w:val="20"/>
        </w:rPr>
        <w:t>entidades empresariais que estejam reunidas em consórcio;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Como condição para participação no Pregão, a licitante assinalará “sim” ou “não” em campo próprio do sistema eletrônico, relativo às seguintes declarações:</w:t>
      </w:r>
      <w:r>
        <w:rPr>
          <w:rFonts w:eastAsia="Zurich BT" w:cs="Arial" w:ascii="Arial" w:hAnsi="Arial"/>
          <w:bCs/>
          <w:color w:val="000000"/>
          <w:sz w:val="20"/>
          <w:szCs w:val="20"/>
        </w:rPr>
        <w:t xml:space="preserve"> </w:t>
      </w:r>
    </w:p>
    <w:p>
      <w:pPr>
        <w:pStyle w:val="Normal"/>
        <w:numPr>
          <w:ilvl w:val="2"/>
          <w:numId w:val="1"/>
        </w:numPr>
        <w:snapToGrid w:val="false"/>
        <w:spacing w:lineRule="auto" w:line="276" w:before="120" w:after="120"/>
        <w:ind w:left="0" w:hanging="0"/>
        <w:jc w:val="both"/>
        <w:rPr>
          <w:rFonts w:ascii="Arial" w:hAnsi="Arial" w:cs="Arial"/>
          <w:bCs/>
          <w:color w:val="000000"/>
          <w:sz w:val="20"/>
          <w:szCs w:val="20"/>
        </w:rPr>
      </w:pPr>
      <w:r>
        <w:rPr>
          <w:rFonts w:cs="Arial" w:ascii="Arial" w:hAnsi="Arial"/>
          <w:bCs/>
          <w:color w:val="000000"/>
          <w:sz w:val="20"/>
          <w:szCs w:val="20"/>
        </w:rPr>
        <w:t xml:space="preserve">que cumpre os requisitos estabelecidos no artigo 3° </w:t>
      </w:r>
      <w:r>
        <w:rPr>
          <w:rFonts w:cs="Arial" w:ascii="Arial" w:hAnsi="Arial"/>
          <w:color w:val="000000"/>
          <w:sz w:val="20"/>
          <w:szCs w:val="20"/>
        </w:rPr>
        <w:t>da Lei Complementar nº 123, de 2006, estando apta a usufruir do tratamento favorecido estabelecido em seus arts. 42 a 49.</w:t>
      </w:r>
    </w:p>
    <w:p>
      <w:pPr>
        <w:pStyle w:val="Normal"/>
        <w:numPr>
          <w:ilvl w:val="3"/>
          <w:numId w:val="1"/>
        </w:numPr>
        <w:spacing w:lineRule="auto" w:line="276" w:before="120" w:after="120"/>
        <w:ind w:left="0" w:hanging="0"/>
        <w:jc w:val="both"/>
        <w:rPr>
          <w:rFonts w:ascii="Arial" w:hAnsi="Arial" w:cs="Arial"/>
          <w:bCs/>
          <w:color w:val="000000"/>
          <w:sz w:val="20"/>
          <w:szCs w:val="20"/>
        </w:rPr>
      </w:pPr>
      <w:r>
        <w:rPr>
          <w:rFonts w:cs="Arial" w:ascii="Arial" w:hAnsi="Arial"/>
          <w:bCs/>
          <w:color w:val="000000"/>
          <w:sz w:val="20"/>
          <w:szCs w:val="20"/>
        </w:rPr>
        <w:t>nos itens exclusivos a microempresas e empresas de pequeno porte, a assinalação do campo “não” impedirá o prosseguimento no certame;</w:t>
      </w:r>
    </w:p>
    <w:p>
      <w:pPr>
        <w:pStyle w:val="Normal"/>
        <w:numPr>
          <w:ilvl w:val="3"/>
          <w:numId w:val="1"/>
        </w:numPr>
        <w:tabs>
          <w:tab w:val="left" w:pos="709" w:leader="none"/>
        </w:tabs>
        <w:spacing w:lineRule="auto" w:line="276" w:before="120" w:after="120"/>
        <w:ind w:left="0" w:hanging="0"/>
        <w:jc w:val="both"/>
        <w:rPr>
          <w:rFonts w:ascii="Arial" w:hAnsi="Arial" w:cs="Arial"/>
          <w:bCs/>
          <w:color w:val="000000"/>
          <w:sz w:val="20"/>
          <w:szCs w:val="20"/>
        </w:rPr>
      </w:pPr>
      <w:r>
        <w:rPr>
          <w:rFonts w:cs="Arial" w:ascii="Arial" w:hAnsi="Arial"/>
          <w:color w:val="000000"/>
          <w:sz w:val="20"/>
          <w:szCs w:val="20"/>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Normal"/>
        <w:numPr>
          <w:ilvl w:val="2"/>
          <w:numId w:val="1"/>
        </w:numPr>
        <w:snapToGrid w:val="false"/>
        <w:spacing w:lineRule="auto" w:line="276" w:before="120" w:after="120"/>
        <w:ind w:left="0" w:hanging="0"/>
        <w:jc w:val="both"/>
        <w:rPr>
          <w:rFonts w:ascii="Arial" w:hAnsi="Arial" w:cs="Arial"/>
          <w:bCs/>
          <w:color w:val="000000"/>
          <w:sz w:val="20"/>
          <w:szCs w:val="20"/>
        </w:rPr>
      </w:pPr>
      <w:r>
        <w:rPr>
          <w:rFonts w:cs="Arial" w:ascii="Arial" w:hAnsi="Arial"/>
          <w:color w:val="000000"/>
          <w:sz w:val="20"/>
          <w:szCs w:val="20"/>
        </w:rPr>
        <w:t>que está ciente e concorda com as condições contidas no Edital e seus anexos, bem como de que cumpre plenamente os requisitos de habilitação definidos no Edital;</w:t>
      </w:r>
    </w:p>
    <w:p>
      <w:pPr>
        <w:pStyle w:val="Normal"/>
        <w:numPr>
          <w:ilvl w:val="2"/>
          <w:numId w:val="1"/>
        </w:numPr>
        <w:snapToGrid w:val="false"/>
        <w:spacing w:lineRule="auto" w:line="276" w:before="120" w:after="120"/>
        <w:ind w:left="0" w:hanging="0"/>
        <w:jc w:val="both"/>
        <w:rPr>
          <w:rFonts w:ascii="Arial" w:hAnsi="Arial" w:eastAsia="Zurich BT" w:cs="Arial"/>
          <w:color w:val="000000"/>
          <w:sz w:val="20"/>
          <w:szCs w:val="20"/>
        </w:rPr>
      </w:pPr>
      <w:r>
        <w:rPr>
          <w:rFonts w:cs="Arial" w:ascii="Arial" w:hAnsi="Arial"/>
          <w:color w:val="000000"/>
          <w:sz w:val="20"/>
          <w:szCs w:val="20"/>
        </w:rPr>
        <w:t xml:space="preserve">que inexistem fatos impeditivos para sua habilitação no certame, ciente da obrigatoriedade de declarar ocorrências posteriores; </w:t>
      </w:r>
    </w:p>
    <w:p>
      <w:pPr>
        <w:pStyle w:val="Normal"/>
        <w:numPr>
          <w:ilvl w:val="2"/>
          <w:numId w:val="1"/>
        </w:numPr>
        <w:snapToGrid w:val="false"/>
        <w:spacing w:lineRule="auto" w:line="276" w:before="120" w:after="120"/>
        <w:ind w:left="0" w:hanging="0"/>
        <w:jc w:val="both"/>
        <w:rPr>
          <w:rFonts w:ascii="Arial" w:hAnsi="Arial" w:eastAsia="Zurich BT" w:cs="Arial"/>
          <w:bCs/>
          <w:color w:val="000000"/>
          <w:sz w:val="20"/>
          <w:szCs w:val="20"/>
        </w:rPr>
      </w:pPr>
      <w:r>
        <w:rPr>
          <w:rFonts w:cs="Arial" w:ascii="Arial" w:hAnsi="Arial"/>
          <w:color w:val="000000"/>
          <w:sz w:val="20"/>
          <w:szCs w:val="20"/>
        </w:rPr>
        <w:t>que não emprega menor de 18 anos em trabalho noturno, perigoso ou insalubre e não emprega menor de 16 anos, salvo menor, a partir de 14 anos, na condição de aprendiz, nos termos do artigo 7°, XXXIII, da Constituição.</w:t>
      </w:r>
      <w:r>
        <w:rPr>
          <w:rFonts w:eastAsia="Zurich BT" w:cs="Arial" w:ascii="Arial" w:hAnsi="Arial"/>
          <w:color w:val="000000"/>
          <w:sz w:val="20"/>
          <w:szCs w:val="20"/>
        </w:rPr>
        <w:t xml:space="preserve"> </w:t>
      </w:r>
    </w:p>
    <w:p>
      <w:pPr>
        <w:pStyle w:val="Normal"/>
        <w:numPr>
          <w:ilvl w:val="2"/>
          <w:numId w:val="1"/>
        </w:numPr>
        <w:snapToGrid w:val="false"/>
        <w:spacing w:lineRule="auto" w:line="276" w:before="120" w:after="120"/>
        <w:ind w:left="0" w:hanging="0"/>
        <w:jc w:val="both"/>
        <w:rPr>
          <w:rFonts w:ascii="Arial" w:hAnsi="Arial" w:cs="Arial"/>
          <w:color w:val="000000"/>
          <w:sz w:val="20"/>
          <w:szCs w:val="20"/>
        </w:rPr>
      </w:pPr>
      <w:r>
        <w:rPr>
          <w:rFonts w:eastAsia="Zurich BT" w:cs="Arial" w:ascii="Arial" w:hAnsi="Arial"/>
          <w:color w:val="000000"/>
          <w:sz w:val="20"/>
          <w:szCs w:val="20"/>
        </w:rPr>
        <w:t>que a proposta foi elaborada de forma independente, nos termos d</w:t>
      </w:r>
      <w:r>
        <w:rPr>
          <w:rFonts w:cs="Arial" w:ascii="Arial" w:hAnsi="Arial"/>
          <w:color w:val="000000"/>
          <w:sz w:val="20"/>
          <w:szCs w:val="20"/>
        </w:rPr>
        <w:t>a Instrução Normativa SLTI/MPOG nº 2, de 16 de setembro de 2009;</w:t>
      </w:r>
    </w:p>
    <w:p>
      <w:pPr>
        <w:pStyle w:val="Normal"/>
        <w:spacing w:lineRule="auto" w:line="276" w:before="0" w:after="120"/>
        <w:ind w:left="756"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tabs>
          <w:tab w:val="left" w:pos="284" w:leader="none"/>
          <w:tab w:val="left" w:pos="567" w:leader="none"/>
        </w:tabs>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DO ENVIO DA PROPOSTA</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licitante deverá encaminhar a proposta por meio do sistema eletrônico até a data e horário marcados para abertura da sessão, quando então, encerrar-se-á automaticamente a fase de recebimento de propostas.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Todas as referências de tempo no Edital, no aviso e durante a sessão pública observarão o horário de Brasília – DF.</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O licitante será responsável por todas as transações que forem efetuadas em seu nome no sistema eletrônico, assumindo como firmes e verdadeiras suas propostas e lances.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Até a abertura da sessão, os licitantes poderão retirar ou substituir as propostas apresentadas.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licitante deverá enviar sua proposta mediante o preenchimento, no sistema eletrônico, dos seguintes campos: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sz w:val="20"/>
          <w:szCs w:val="20"/>
        </w:rPr>
        <w:t xml:space="preserve"> </w:t>
      </w:r>
      <w:r>
        <w:rPr>
          <w:rFonts w:cs="Arial" w:ascii="Arial" w:hAnsi="Arial"/>
          <w:color w:val="000000"/>
          <w:sz w:val="20"/>
          <w:szCs w:val="20"/>
        </w:rPr>
        <w:t>valor unitário,</w:t>
      </w:r>
    </w:p>
    <w:p>
      <w:pPr>
        <w:pStyle w:val="Normal"/>
        <w:numPr>
          <w:ilvl w:val="2"/>
          <w:numId w:val="1"/>
        </w:numPr>
        <w:snapToGrid w:val="false"/>
        <w:spacing w:lineRule="auto" w:line="276" w:before="120" w:after="120"/>
        <w:ind w:left="0" w:hanging="0"/>
        <w:jc w:val="both"/>
        <w:rPr>
          <w:rFonts w:ascii="Arial" w:hAnsi="Arial" w:cs="Arial"/>
          <w:bCs/>
          <w:i/>
          <w:i/>
          <w:color w:val="000000"/>
          <w:sz w:val="20"/>
          <w:szCs w:val="20"/>
        </w:rPr>
      </w:pPr>
      <w:r>
        <w:rPr>
          <w:rFonts w:cs="Arial" w:ascii="Arial" w:hAnsi="Arial"/>
          <w:color w:val="000000"/>
          <w:sz w:val="20"/>
          <w:szCs w:val="20"/>
        </w:rPr>
        <w:t>a quantidade de unidades, observada a quantidade mínima fixada no Termo de Referência para cada item;</w:t>
      </w:r>
    </w:p>
    <w:p>
      <w:pPr>
        <w:pStyle w:val="Normal"/>
        <w:numPr>
          <w:ilvl w:val="3"/>
          <w:numId w:val="1"/>
        </w:numPr>
        <w:tabs>
          <w:tab w:val="left" w:pos="426" w:leader="none"/>
          <w:tab w:val="left" w:pos="567" w:leader="none"/>
        </w:tabs>
        <w:spacing w:lineRule="auto" w:line="276" w:before="120" w:after="120"/>
        <w:ind w:left="0" w:hanging="0"/>
        <w:jc w:val="both"/>
        <w:rPr>
          <w:rFonts w:ascii="Arial" w:hAnsi="Arial" w:cs="Arial"/>
          <w:bCs/>
          <w:i/>
          <w:i/>
          <w:color w:val="000000"/>
          <w:sz w:val="20"/>
          <w:szCs w:val="20"/>
        </w:rPr>
      </w:pPr>
      <w:r>
        <w:rPr>
          <w:rFonts w:cs="Arial" w:ascii="Arial" w:hAnsi="Arial"/>
          <w:color w:val="000000"/>
          <w:sz w:val="20"/>
          <w:szCs w:val="20"/>
        </w:rPr>
        <w:t>em não havendo quantidade mínima fixada, deverá ser cotada a quantidade total prevista para o item.</w:t>
      </w:r>
    </w:p>
    <w:p>
      <w:pPr>
        <w:pStyle w:val="Normal"/>
        <w:numPr>
          <w:ilvl w:val="2"/>
          <w:numId w:val="1"/>
        </w:numPr>
        <w:snapToGrid w:val="false"/>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Marca;</w:t>
      </w:r>
    </w:p>
    <w:p>
      <w:pPr>
        <w:pStyle w:val="Normal"/>
        <w:numPr>
          <w:ilvl w:val="2"/>
          <w:numId w:val="1"/>
        </w:numPr>
        <w:snapToGrid w:val="false"/>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Fabricante; </w:t>
      </w:r>
    </w:p>
    <w:p>
      <w:pPr>
        <w:pStyle w:val="Normal"/>
        <w:numPr>
          <w:ilvl w:val="2"/>
          <w:numId w:val="1"/>
        </w:numPr>
        <w:snapToGrid w:val="false"/>
        <w:spacing w:lineRule="auto" w:line="276" w:before="120" w:after="120"/>
        <w:ind w:left="0" w:hanging="0"/>
        <w:jc w:val="both"/>
        <w:rPr>
          <w:rFonts w:ascii="Arial" w:hAnsi="Arial" w:cs="Arial"/>
          <w:sz w:val="20"/>
          <w:szCs w:val="20"/>
        </w:rPr>
      </w:pPr>
      <w:r>
        <w:rPr>
          <w:rFonts w:cs="Arial" w:ascii="Arial" w:hAnsi="Arial"/>
          <w:color w:val="000000"/>
          <w:sz w:val="20"/>
          <w:szCs w:val="20"/>
        </w:rPr>
        <w:t>Descrição detalhada do objeto: indicando, no que for aplicável, o modelo, prazo de validade ou de garantia, número</w:t>
      </w:r>
      <w:r>
        <w:rPr>
          <w:rFonts w:cs="Arial" w:ascii="Arial" w:hAnsi="Arial"/>
          <w:i/>
          <w:sz w:val="20"/>
          <w:szCs w:val="20"/>
        </w:rPr>
        <w:t xml:space="preserve"> do registro ou inscrição do bem no órgão competente, quando for o caso;</w:t>
      </w:r>
    </w:p>
    <w:p>
      <w:pPr>
        <w:pStyle w:val="Normal"/>
        <w:numPr>
          <w:ilvl w:val="1"/>
          <w:numId w:val="1"/>
        </w:numPr>
        <w:spacing w:lineRule="auto" w:line="276" w:before="120" w:after="120"/>
        <w:ind w:left="0" w:hanging="0"/>
        <w:jc w:val="both"/>
        <w:rPr>
          <w:rFonts w:ascii="Arial" w:hAnsi="Arial" w:cs="Arial"/>
          <w:iCs/>
          <w:color w:val="000000"/>
          <w:sz w:val="20"/>
          <w:szCs w:val="20"/>
        </w:rPr>
      </w:pPr>
      <w:r>
        <w:rPr>
          <w:rFonts w:cs="Arial" w:ascii="Arial" w:hAnsi="Arial"/>
          <w:color w:val="000000"/>
          <w:sz w:val="20"/>
          <w:szCs w:val="20"/>
        </w:rPr>
        <w:t xml:space="preserve">Todas as especificações do objeto contidas na proposta vinculam </w:t>
      </w:r>
      <w:r>
        <w:rPr>
          <w:rFonts w:cs="Arial" w:ascii="Arial" w:hAnsi="Arial"/>
          <w:sz w:val="20"/>
          <w:szCs w:val="20"/>
        </w:rPr>
        <w:t xml:space="preserve">o fornecedor </w:t>
      </w:r>
      <w:r>
        <w:rPr>
          <w:rFonts w:cs="Arial" w:ascii="Arial" w:hAnsi="Arial"/>
          <w:color w:val="000000"/>
          <w:sz w:val="20"/>
          <w:szCs w:val="20"/>
        </w:rPr>
        <w:t xml:space="preserve">registrado.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Nos valores propostos estarão inclusos todos os custos operacionais, encargos previdenciários, trabalhistas, tributários, comerciais e quaisquer outros que incidam direta ou indiretamente no fornecimento dos bens.</w:t>
      </w:r>
    </w:p>
    <w:p>
      <w:pPr>
        <w:pStyle w:val="Normal"/>
        <w:numPr>
          <w:ilvl w:val="1"/>
          <w:numId w:val="1"/>
        </w:numPr>
        <w:tabs>
          <w:tab w:val="left" w:pos="426"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O prazo de validade da proposta não será inferior a 60 (sessenta) dias, a contar da data de sua apresentação. </w:t>
      </w:r>
    </w:p>
    <w:p>
      <w:pPr>
        <w:pStyle w:val="Normal"/>
        <w:spacing w:lineRule="auto" w:line="276" w:before="120" w:after="120"/>
        <w:jc w:val="both"/>
        <w:rPr>
          <w:rFonts w:ascii="Arial" w:hAnsi="Arial" w:cs="Arial"/>
          <w:b/>
          <w:b/>
          <w:color w:val="000000"/>
          <w:sz w:val="20"/>
          <w:szCs w:val="20"/>
        </w:rPr>
      </w:pPr>
      <w:r>
        <w:rPr>
          <w:rFonts w:cs="Arial" w:ascii="Arial" w:hAnsi="Arial"/>
          <w:b/>
          <w:color w:val="000000"/>
          <w:sz w:val="20"/>
          <w:szCs w:val="20"/>
        </w:rPr>
      </w:r>
    </w:p>
    <w:p>
      <w:pPr>
        <w:pStyle w:val="Normal"/>
        <w:numPr>
          <w:ilvl w:val="0"/>
          <w:numId w:val="1"/>
        </w:numPr>
        <w:tabs>
          <w:tab w:val="left" w:pos="284" w:leader="none"/>
          <w:tab w:val="left" w:pos="709" w:leader="none"/>
        </w:tabs>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DAS PROPOSTAS E FORMULAÇÃO DE LANCES</w:t>
      </w:r>
    </w:p>
    <w:p>
      <w:pPr>
        <w:pStyle w:val="Normal"/>
        <w:numPr>
          <w:ilvl w:val="1"/>
          <w:numId w:val="1"/>
        </w:numPr>
        <w:tabs>
          <w:tab w:val="left" w:pos="284" w:leader="none"/>
          <w:tab w:val="left" w:pos="567"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lang w:eastAsia="en-US"/>
        </w:rPr>
        <w:t>A abertura da presente licitação dar-se-á em sessão pública, por meio de sistema eletrônico, na data, horário e local indicados neste Edital.</w:t>
      </w:r>
    </w:p>
    <w:p>
      <w:pPr>
        <w:pStyle w:val="Normal"/>
        <w:numPr>
          <w:ilvl w:val="1"/>
          <w:numId w:val="1"/>
        </w:numPr>
        <w:tabs>
          <w:tab w:val="left" w:pos="284" w:leader="none"/>
          <w:tab w:val="left" w:pos="567"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pPr>
        <w:pStyle w:val="Normal"/>
        <w:numPr>
          <w:ilvl w:val="2"/>
          <w:numId w:val="1"/>
        </w:numPr>
        <w:tabs>
          <w:tab w:val="left" w:pos="284" w:leader="none"/>
          <w:tab w:val="left" w:pos="567" w:leader="none"/>
          <w:tab w:val="left" w:pos="709" w:leader="none"/>
        </w:tabs>
        <w:snapToGrid w:val="false"/>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A desclassificação será sempre fundamentada e registrada no sistema, com acompanhamento em tempo real por todos os participantes.</w:t>
      </w:r>
    </w:p>
    <w:p>
      <w:pPr>
        <w:pStyle w:val="Normal"/>
        <w:numPr>
          <w:ilvl w:val="2"/>
          <w:numId w:val="1"/>
        </w:numPr>
        <w:tabs>
          <w:tab w:val="left" w:pos="284" w:leader="none"/>
          <w:tab w:val="left" w:pos="567" w:leader="none"/>
          <w:tab w:val="left" w:pos="709" w:leader="none"/>
        </w:tabs>
        <w:snapToGrid w:val="false"/>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A não desclassificação da proposta não impede o seu julgamento definitivo em sentido contrário, levado a efeito na fase de aceitação.</w:t>
      </w:r>
    </w:p>
    <w:p>
      <w:pPr>
        <w:pStyle w:val="Normal"/>
        <w:numPr>
          <w:ilvl w:val="1"/>
          <w:numId w:val="1"/>
        </w:numPr>
        <w:tabs>
          <w:tab w:val="left" w:pos="284" w:leader="none"/>
          <w:tab w:val="left" w:pos="567"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O sistema ordenará automaticamente as propostas classificadas, sendo que somente estas participarão da fase de lances.</w:t>
      </w:r>
    </w:p>
    <w:p>
      <w:pPr>
        <w:pStyle w:val="Normal"/>
        <w:numPr>
          <w:ilvl w:val="1"/>
          <w:numId w:val="1"/>
        </w:numPr>
        <w:tabs>
          <w:tab w:val="left" w:pos="284" w:leader="none"/>
          <w:tab w:val="left" w:pos="567" w:leader="none"/>
          <w:tab w:val="left" w:pos="709" w:leader="none"/>
          <w:tab w:val="left" w:pos="851"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O sistema disponibilizará campo próprio para troca de mensagem entre o Pregoeiro e os licitantes.</w:t>
      </w:r>
    </w:p>
    <w:p>
      <w:pPr>
        <w:pStyle w:val="Normal"/>
        <w:numPr>
          <w:ilvl w:val="1"/>
          <w:numId w:val="1"/>
        </w:numPr>
        <w:tabs>
          <w:tab w:val="left" w:pos="284" w:leader="none"/>
          <w:tab w:val="left" w:pos="567" w:leader="none"/>
          <w:tab w:val="left" w:pos="709" w:leader="none"/>
          <w:tab w:val="left" w:pos="851"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pPr>
        <w:pStyle w:val="Normal"/>
        <w:numPr>
          <w:ilvl w:val="2"/>
          <w:numId w:val="1"/>
        </w:numPr>
        <w:tabs>
          <w:tab w:val="left" w:pos="284" w:leader="none"/>
          <w:tab w:val="left" w:pos="567" w:leader="none"/>
          <w:tab w:val="left" w:pos="709" w:leader="none"/>
        </w:tabs>
        <w:snapToGrid w:val="false"/>
        <w:spacing w:lineRule="auto" w:line="276" w:before="120" w:after="120"/>
        <w:ind w:left="0" w:firstLine="1"/>
        <w:jc w:val="both"/>
        <w:rPr>
          <w:rFonts w:ascii="Arial" w:hAnsi="Arial" w:cs="Arial"/>
          <w:sz w:val="20"/>
          <w:szCs w:val="20"/>
        </w:rPr>
      </w:pPr>
      <w:r>
        <w:rPr>
          <w:rFonts w:cs="Arial" w:ascii="Arial" w:hAnsi="Arial"/>
          <w:i/>
          <w:sz w:val="20"/>
          <w:szCs w:val="20"/>
        </w:rPr>
        <w:t xml:space="preserve">O lance deverá ser ofertado pelo valor (unitário) </w:t>
      </w:r>
    </w:p>
    <w:p>
      <w:pPr>
        <w:pStyle w:val="ListParagraph"/>
        <w:numPr>
          <w:ilvl w:val="1"/>
          <w:numId w:val="1"/>
        </w:numPr>
        <w:tabs>
          <w:tab w:val="left" w:pos="709" w:leader="none"/>
        </w:tabs>
        <w:spacing w:lineRule="auto" w:line="276" w:before="120" w:after="120"/>
        <w:ind w:left="0" w:firstLine="1"/>
        <w:contextualSpacing/>
        <w:jc w:val="both"/>
        <w:rPr>
          <w:rFonts w:ascii="Arial" w:hAnsi="Arial" w:cs="Arial"/>
          <w:color w:val="000000"/>
          <w:sz w:val="20"/>
          <w:szCs w:val="20"/>
        </w:rPr>
      </w:pPr>
      <w:r>
        <w:rPr>
          <w:rFonts w:cs="Arial" w:ascii="Arial" w:hAnsi="Arial"/>
          <w:color w:val="000000"/>
          <w:sz w:val="20"/>
          <w:szCs w:val="20"/>
        </w:rPr>
        <w:t>Os licitantes poderão oferecer lances sucessivos, observando o horário fixado para abertura da sessão e as regras estabelecidas no Edital.</w:t>
      </w:r>
    </w:p>
    <w:p>
      <w:pPr>
        <w:pStyle w:val="ListParagraph"/>
        <w:numPr>
          <w:ilvl w:val="1"/>
          <w:numId w:val="1"/>
        </w:numPr>
        <w:tabs>
          <w:tab w:val="left" w:pos="426" w:leader="none"/>
          <w:tab w:val="left" w:pos="709" w:leader="none"/>
        </w:tabs>
        <w:spacing w:lineRule="auto" w:line="276" w:before="120" w:after="120"/>
        <w:ind w:left="0" w:firstLine="1"/>
        <w:contextualSpacing/>
        <w:jc w:val="both"/>
        <w:rPr>
          <w:rFonts w:ascii="Arial" w:hAnsi="Arial" w:cs="Arial"/>
          <w:color w:val="000000"/>
          <w:sz w:val="20"/>
          <w:szCs w:val="20"/>
        </w:rPr>
      </w:pPr>
      <w:r>
        <w:rPr>
          <w:rFonts w:cs="Arial" w:ascii="Arial" w:hAnsi="Arial"/>
          <w:color w:val="000000"/>
          <w:sz w:val="20"/>
          <w:szCs w:val="20"/>
        </w:rPr>
        <w:t xml:space="preserve">O licitante somente poderá oferecer lance inferior ao último por ele ofertado e registrado pelo sistema. </w:t>
      </w:r>
    </w:p>
    <w:p>
      <w:pPr>
        <w:pStyle w:val="ListParagraph"/>
        <w:numPr>
          <w:ilvl w:val="2"/>
          <w:numId w:val="1"/>
        </w:numPr>
        <w:tabs>
          <w:tab w:val="left" w:pos="426" w:leader="none"/>
          <w:tab w:val="left" w:pos="709" w:leader="none"/>
        </w:tabs>
        <w:spacing w:lineRule="auto" w:line="276" w:before="120" w:after="120"/>
        <w:ind w:left="0" w:firstLine="1"/>
        <w:contextualSpacing/>
        <w:jc w:val="both"/>
        <w:rPr>
          <w:rFonts w:ascii="Arial" w:hAnsi="Arial" w:cs="Arial"/>
          <w:color w:val="000000"/>
          <w:sz w:val="20"/>
          <w:szCs w:val="20"/>
        </w:rPr>
      </w:pPr>
      <w:r>
        <w:rPr>
          <w:rFonts w:cs="Arial" w:ascii="Arial" w:hAnsi="Arial"/>
          <w:color w:val="000000"/>
          <w:sz w:val="20"/>
          <w:szCs w:val="20"/>
        </w:rPr>
        <w:t>O intervalo entre os lances enviados pelo mesmo licitante não poderá ser inferior a vinte (20) segundos e o intervalo entre lances não poderá ser inferior a três (3) segundos</w:t>
      </w:r>
    </w:p>
    <w:p>
      <w:pPr>
        <w:pStyle w:val="Normal"/>
        <w:numPr>
          <w:ilvl w:val="1"/>
          <w:numId w:val="1"/>
        </w:numPr>
        <w:tabs>
          <w:tab w:val="left" w:pos="426"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Não serão aceitos dois ou mais lances de mesmo valor, prevalecendo aquele que for recebido e registrado em primeiro lugar. </w:t>
      </w:r>
    </w:p>
    <w:p>
      <w:pPr>
        <w:pStyle w:val="Normal"/>
        <w:numPr>
          <w:ilvl w:val="1"/>
          <w:numId w:val="1"/>
        </w:numPr>
        <w:tabs>
          <w:tab w:val="left" w:pos="426"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Durante o transcurso da sessão pública, os licitantes serão informados, em tempo real, do valor do menor lance registrado, vedada a identificação do licitante. </w:t>
      </w:r>
    </w:p>
    <w:p>
      <w:pPr>
        <w:pStyle w:val="Normal"/>
        <w:numPr>
          <w:ilvl w:val="1"/>
          <w:numId w:val="1"/>
        </w:numPr>
        <w:tabs>
          <w:tab w:val="left" w:pos="426"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No caso de desconexão com o Pregoeiro, no decorrer da etapa competitiva do Pregão, o sistema eletrônico poderá permanecer acessível aos licitantes para a recepção dos lances. </w:t>
      </w:r>
    </w:p>
    <w:p>
      <w:pPr>
        <w:pStyle w:val="Normal"/>
        <w:numPr>
          <w:ilvl w:val="1"/>
          <w:numId w:val="1"/>
        </w:numPr>
        <w:tabs>
          <w:tab w:val="left" w:pos="426" w:leader="none"/>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 xml:space="preserve">Se a desconexão perdurar por tempo superior a 10 (dez) minutos, a sessão será suspensa e terá reinício somente após comunicação expressa do Pregoeiro aos participantes. </w:t>
      </w:r>
    </w:p>
    <w:p>
      <w:pPr>
        <w:pStyle w:val="Normal"/>
        <w:numPr>
          <w:ilvl w:val="1"/>
          <w:numId w:val="1"/>
        </w:numPr>
        <w:tabs>
          <w:tab w:val="left" w:pos="426" w:leader="none"/>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Normal"/>
        <w:numPr>
          <w:ilvl w:val="1"/>
          <w:numId w:val="1"/>
        </w:numPr>
        <w:tabs>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pPr>
        <w:pStyle w:val="Normal"/>
        <w:numPr>
          <w:ilvl w:val="1"/>
          <w:numId w:val="1"/>
        </w:numPr>
        <w:tabs>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lang w:eastAsia="en-US"/>
        </w:rPr>
        <w:t xml:space="preserve">Em relação aos itens não exclusivos a </w:t>
      </w:r>
      <w:r>
        <w:rPr>
          <w:rFonts w:cs="Arial" w:ascii="Arial" w:hAnsi="Arial"/>
          <w:bCs/>
          <w:color w:val="000000"/>
          <w:sz w:val="20"/>
          <w:szCs w:val="20"/>
          <w:lang w:eastAsia="en-US"/>
        </w:rPr>
        <w:t>microempresas e empresas de pequeno porte,</w:t>
      </w:r>
      <w:r>
        <w:rPr>
          <w:rFonts w:cs="Arial" w:ascii="Arial" w:hAnsi="Arial"/>
          <w:color w:val="000000"/>
          <w:sz w:val="20"/>
          <w:szCs w:val="20"/>
          <w:lang w:eastAsia="en-US"/>
        </w:rPr>
        <w:t xml:space="preserve"> uma vez encerrada a etapa de lances</w:t>
      </w:r>
      <w:r>
        <w:rPr>
          <w:rFonts w:eastAsia="Zurich BT" w:cs="Arial" w:ascii="Arial" w:hAnsi="Arial"/>
          <w:bCs/>
          <w:sz w:val="20"/>
          <w:szCs w:val="20"/>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Normal"/>
        <w:numPr>
          <w:ilvl w:val="2"/>
          <w:numId w:val="1"/>
        </w:numPr>
        <w:tabs>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rPr>
        <w:t xml:space="preserve">Nessas condições, caso a melhor oferta válida tenha sido apresentada por empresa de maior porte, as propostas de pessoas qualificadas como </w:t>
      </w:r>
      <w:r>
        <w:rPr>
          <w:rFonts w:eastAsia="Zurich BT" w:cs="Arial" w:ascii="Arial" w:hAnsi="Arial"/>
          <w:bCs/>
          <w:sz w:val="20"/>
          <w:szCs w:val="20"/>
        </w:rPr>
        <w:t xml:space="preserve">microempresas ou empresas de pequeno porte </w:t>
      </w:r>
      <w:r>
        <w:rPr>
          <w:rFonts w:cs="Arial" w:ascii="Arial" w:hAnsi="Arial"/>
          <w:color w:val="000000"/>
          <w:sz w:val="20"/>
          <w:szCs w:val="20"/>
        </w:rPr>
        <w:t>que se encontrarem na faixa de até 5% (cinco por cento) acima da proposta ou lance de menor preço serão consideradas empatadas com a primeira colocada.</w:t>
      </w:r>
    </w:p>
    <w:p>
      <w:pPr>
        <w:pStyle w:val="Normal"/>
        <w:numPr>
          <w:ilvl w:val="1"/>
          <w:numId w:val="1"/>
        </w:numPr>
        <w:tabs>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Normal"/>
        <w:numPr>
          <w:ilvl w:val="2"/>
          <w:numId w:val="1"/>
        </w:numPr>
        <w:tabs>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rPr>
        <w:t xml:space="preserve">Caso a licitante qualificada como </w:t>
      </w:r>
      <w:r>
        <w:rPr>
          <w:rFonts w:eastAsia="Zurich BT" w:cs="Arial" w:ascii="Arial" w:hAnsi="Arial"/>
          <w:bCs/>
          <w:sz w:val="20"/>
          <w:szCs w:val="20"/>
        </w:rPr>
        <w:t xml:space="preserve">microempresa ou empresa de pequeno porte </w:t>
      </w:r>
      <w:r>
        <w:rPr>
          <w:rFonts w:cs="Arial" w:ascii="Arial" w:hAnsi="Arial"/>
          <w:color w:val="000000"/>
          <w:sz w:val="20"/>
          <w:szCs w:val="20"/>
        </w:rPr>
        <w:t xml:space="preserve">melhor classificada desista ou não se manifeste no prazo estabelecido, serão convocadas as demais licitantes qualificadas como </w:t>
      </w:r>
      <w:r>
        <w:rPr>
          <w:rFonts w:eastAsia="Zurich BT" w:cs="Arial" w:ascii="Arial" w:hAnsi="Arial"/>
          <w:bCs/>
          <w:sz w:val="20"/>
          <w:szCs w:val="20"/>
        </w:rPr>
        <w:t xml:space="preserve">microempresa ou empresa de pequeno porte </w:t>
      </w:r>
      <w:r>
        <w:rPr>
          <w:rFonts w:cs="Arial" w:ascii="Arial" w:hAnsi="Arial"/>
          <w:color w:val="000000"/>
          <w:sz w:val="20"/>
          <w:szCs w:val="20"/>
        </w:rPr>
        <w:t>que se encontrem naquele intervalo de 5% (cinco por cento), na ordem de classificação, para o exercício do mesmo direito, no prazo estabelecido no subitem anterior.</w:t>
      </w:r>
    </w:p>
    <w:p>
      <w:pPr>
        <w:pStyle w:val="ListParagraph"/>
        <w:numPr>
          <w:ilvl w:val="2"/>
          <w:numId w:val="1"/>
        </w:numPr>
        <w:tabs>
          <w:tab w:val="left" w:pos="709" w:leader="none"/>
        </w:tabs>
        <w:spacing w:lineRule="auto" w:line="276" w:before="120" w:after="120"/>
        <w:ind w:left="0" w:firstLine="1"/>
        <w:contextualSpacing/>
        <w:jc w:val="both"/>
        <w:rPr>
          <w:rFonts w:ascii="Arial" w:hAnsi="Arial" w:cs="Arial"/>
          <w:color w:val="000000"/>
          <w:sz w:val="20"/>
          <w:szCs w:val="20"/>
        </w:rPr>
      </w:pPr>
      <w:r>
        <w:rPr>
          <w:rFonts w:cs="Arial" w:ascii="Arial" w:hAnsi="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pPr>
        <w:pStyle w:val="Normal"/>
        <w:numPr>
          <w:ilvl w:val="2"/>
          <w:numId w:val="1"/>
        </w:numPr>
        <w:tabs>
          <w:tab w:val="left" w:pos="709" w:leader="none"/>
        </w:tabs>
        <w:spacing w:lineRule="auto" w:line="276" w:before="120" w:after="120"/>
        <w:ind w:left="0" w:firstLine="1"/>
        <w:jc w:val="both"/>
        <w:rPr>
          <w:rFonts w:ascii="Arial" w:hAnsi="Arial" w:eastAsia="Zurich BT" w:cs="Arial"/>
          <w:bCs/>
          <w:sz w:val="20"/>
          <w:szCs w:val="20"/>
        </w:rPr>
      </w:pPr>
      <w:r>
        <w:rPr>
          <w:rFonts w:cs="Arial" w:ascii="Arial" w:hAnsi="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Normal"/>
        <w:numPr>
          <w:ilvl w:val="1"/>
          <w:numId w:val="1"/>
        </w:numPr>
        <w:tabs>
          <w:tab w:val="left" w:pos="709" w:leader="none"/>
        </w:tabs>
        <w:spacing w:lineRule="auto" w:line="276" w:before="120" w:after="120"/>
        <w:ind w:left="0" w:firstLine="1"/>
        <w:jc w:val="both"/>
        <w:rPr>
          <w:rFonts w:ascii="Arial" w:hAnsi="Arial" w:cs="Arial"/>
          <w:sz w:val="20"/>
          <w:szCs w:val="20"/>
        </w:rPr>
      </w:pPr>
      <w:r>
        <w:rPr>
          <w:rFonts w:cs="Arial" w:ascii="Arial" w:hAnsi="Arial"/>
          <w:sz w:val="20"/>
          <w:szCs w:val="20"/>
        </w:rPr>
        <w:t>Ao final do procedimento, após o encerramento da etapa competitiva, os licitantes poderão reduzir seus preços ao valor da proposta do licitante mais bem classificado.</w:t>
      </w:r>
    </w:p>
    <w:p>
      <w:pPr>
        <w:pStyle w:val="Normal"/>
        <w:numPr>
          <w:ilvl w:val="2"/>
          <w:numId w:val="1"/>
        </w:numPr>
        <w:tabs>
          <w:tab w:val="left" w:pos="709" w:leader="none"/>
        </w:tabs>
        <w:snapToGrid w:val="false"/>
        <w:spacing w:lineRule="auto" w:line="276" w:before="120" w:after="120"/>
        <w:ind w:left="0" w:firstLine="1"/>
        <w:jc w:val="both"/>
        <w:rPr>
          <w:rFonts w:ascii="Arial" w:hAnsi="Arial" w:cs="Arial"/>
          <w:sz w:val="20"/>
          <w:szCs w:val="20"/>
        </w:rPr>
      </w:pPr>
      <w:r>
        <w:rPr>
          <w:rFonts w:cs="Arial" w:ascii="Arial" w:hAnsi="Arial"/>
          <w:sz w:val="20"/>
          <w:szCs w:val="20"/>
        </w:rPr>
        <w:t xml:space="preserve"> </w:t>
      </w:r>
      <w:r>
        <w:rPr>
          <w:rFonts w:cs="Arial" w:ascii="Arial" w:hAnsi="Arial"/>
          <w:sz w:val="20"/>
          <w:szCs w:val="20"/>
        </w:rPr>
        <w:t>A apresentação de novas propostas na forma deste item não prejudicará o resultado do certame em relação ao licitante mais bem classificado.</w:t>
      </w:r>
    </w:p>
    <w:p>
      <w:pPr>
        <w:pStyle w:val="Normal"/>
        <w:tabs>
          <w:tab w:val="left" w:pos="709" w:leader="none"/>
        </w:tabs>
        <w:spacing w:lineRule="auto" w:line="276" w:before="0" w:after="120"/>
        <w:ind w:firstLine="1"/>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tabs>
          <w:tab w:val="left" w:pos="284" w:leader="none"/>
          <w:tab w:val="left" w:pos="426" w:leader="none"/>
          <w:tab w:val="left" w:pos="709" w:leader="none"/>
        </w:tabs>
        <w:spacing w:lineRule="auto" w:line="276" w:before="120" w:after="120"/>
        <w:ind w:left="0" w:firstLine="1"/>
        <w:jc w:val="both"/>
        <w:rPr>
          <w:rFonts w:ascii="Arial" w:hAnsi="Arial" w:cs="Arial"/>
          <w:b/>
          <w:b/>
          <w:color w:val="000000"/>
          <w:sz w:val="20"/>
          <w:szCs w:val="20"/>
        </w:rPr>
      </w:pPr>
      <w:r>
        <w:rPr>
          <w:rFonts w:cs="Arial" w:ascii="Arial" w:hAnsi="Arial"/>
          <w:b/>
          <w:bCs/>
          <w:color w:val="000000"/>
          <w:sz w:val="20"/>
          <w:szCs w:val="20"/>
          <w:lang w:eastAsia="en-US"/>
        </w:rPr>
        <w:t>DA ACEITABILIDADE DA PROPOSTA VENCEDORA</w:t>
      </w:r>
    </w:p>
    <w:p>
      <w:pPr>
        <w:pStyle w:val="Normal"/>
        <w:numPr>
          <w:ilvl w:val="1"/>
          <w:numId w:val="1"/>
        </w:numPr>
        <w:tabs>
          <w:tab w:val="left" w:pos="426" w:leader="none"/>
          <w:tab w:val="left" w:pos="709" w:leader="none"/>
          <w:tab w:val="left" w:pos="851" w:leader="none"/>
        </w:tabs>
        <w:spacing w:lineRule="auto" w:line="276" w:before="120" w:after="120"/>
        <w:ind w:left="0" w:firstLine="1"/>
        <w:jc w:val="both"/>
        <w:rPr>
          <w:rFonts w:ascii="Arial" w:hAnsi="Arial" w:cs="Arial"/>
        </w:rPr>
      </w:pPr>
      <w:r>
        <w:rPr>
          <w:rFonts w:cs="Arial" w:ascii="Arial" w:hAnsi="Arial"/>
          <w:sz w:val="20"/>
          <w:szCs w:val="20"/>
          <w:lang w:eastAsia="en-US"/>
        </w:rPr>
        <w:t>Encerrada a etapa de lances e depois da verificação de possível empate, o Pregoeiro examinará a proposta classificada em primeiro lugar</w:t>
      </w:r>
      <w:r>
        <w:rPr>
          <w:rFonts w:cs="Arial" w:ascii="Arial" w:hAnsi="Arial"/>
          <w:color w:val="000000"/>
          <w:sz w:val="20"/>
          <w:szCs w:val="20"/>
        </w:rPr>
        <w:t xml:space="preserve"> quanto ao preço, a sua exequibilidade, bem como quanto ao cumprimento das especificações do objeto.</w:t>
      </w:r>
    </w:p>
    <w:p>
      <w:pPr>
        <w:pStyle w:val="Normal"/>
        <w:numPr>
          <w:ilvl w:val="1"/>
          <w:numId w:val="1"/>
        </w:numPr>
        <w:tabs>
          <w:tab w:val="left" w:pos="426" w:leader="none"/>
          <w:tab w:val="left" w:pos="709" w:leader="none"/>
          <w:tab w:val="left" w:pos="851" w:leader="none"/>
        </w:tabs>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Será desclassificada a proposta ou o lance vencedor com valor superior ao preço máximo fixado ou que apresentar preço manifestamente inexequível.</w:t>
      </w:r>
    </w:p>
    <w:p>
      <w:pPr>
        <w:pStyle w:val="Normal"/>
        <w:numPr>
          <w:ilvl w:val="1"/>
          <w:numId w:val="1"/>
        </w:numPr>
        <w:tabs>
          <w:tab w:val="left" w:pos="709" w:leader="none"/>
          <w:tab w:val="left" w:pos="851" w:leader="none"/>
        </w:tabs>
        <w:spacing w:lineRule="auto" w:line="276" w:before="120" w:after="120"/>
        <w:ind w:left="0" w:firstLine="1"/>
        <w:jc w:val="both"/>
        <w:rPr>
          <w:rFonts w:ascii="Arial" w:hAnsi="Arial" w:cs="Arial"/>
          <w:b/>
          <w:b/>
          <w:color w:val="7030A0"/>
          <w:sz w:val="20"/>
          <w:szCs w:val="20"/>
        </w:rPr>
      </w:pPr>
      <w:r>
        <w:rPr>
          <w:rFonts w:cs="Arial" w:ascii="Arial" w:hAnsi="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pPr>
        <w:pStyle w:val="Normal"/>
        <w:numPr>
          <w:ilvl w:val="1"/>
          <w:numId w:val="1"/>
        </w:numPr>
        <w:tabs>
          <w:tab w:val="left" w:pos="709" w:leader="none"/>
          <w:tab w:val="left" w:pos="851" w:leader="none"/>
        </w:tabs>
        <w:spacing w:lineRule="auto" w:line="276" w:before="120" w:after="120"/>
        <w:ind w:left="0" w:firstLine="1"/>
        <w:jc w:val="both"/>
        <w:rPr>
          <w:rFonts w:ascii="Arial" w:hAnsi="Arial" w:cs="Arial"/>
          <w:b/>
          <w:b/>
          <w:color w:val="7030A0"/>
          <w:sz w:val="20"/>
          <w:szCs w:val="20"/>
        </w:rPr>
      </w:pPr>
      <w:r>
        <w:rPr>
          <w:rFonts w:cs="Arial" w:ascii="Arial" w:hAnsi="Arial"/>
          <w:sz w:val="20"/>
          <w:szCs w:val="20"/>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cs="Arial" w:ascii="Arial" w:hAnsi="Arial"/>
          <w:i/>
          <w:color w:val="FF0000"/>
          <w:sz w:val="20"/>
          <w:szCs w:val="20"/>
        </w:rPr>
        <w:t> </w:t>
      </w:r>
    </w:p>
    <w:p>
      <w:pPr>
        <w:pStyle w:val="Normal"/>
        <w:numPr>
          <w:ilvl w:val="1"/>
          <w:numId w:val="1"/>
        </w:numPr>
        <w:tabs>
          <w:tab w:val="left" w:pos="709" w:leader="none"/>
          <w:tab w:val="left" w:pos="851" w:leader="none"/>
        </w:tabs>
        <w:spacing w:lineRule="auto" w:line="276" w:before="120" w:after="120"/>
        <w:ind w:left="0" w:firstLine="1"/>
        <w:jc w:val="both"/>
        <w:rPr>
          <w:rFonts w:ascii="Arial" w:hAnsi="Arial" w:cs="Arial"/>
          <w:bCs/>
          <w:iCs/>
          <w:color w:val="000000"/>
          <w:sz w:val="20"/>
          <w:szCs w:val="20"/>
        </w:rPr>
      </w:pPr>
      <w:r>
        <w:rPr>
          <w:rFonts w:cs="Arial" w:ascii="Arial" w:hAnsi="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Normal"/>
        <w:numPr>
          <w:ilvl w:val="2"/>
          <w:numId w:val="1"/>
        </w:numPr>
        <w:tabs>
          <w:tab w:val="left" w:pos="709" w:leader="none"/>
          <w:tab w:val="left" w:pos="1440" w:leader="none"/>
        </w:tabs>
        <w:snapToGrid w:val="false"/>
        <w:spacing w:lineRule="auto" w:line="276" w:before="120" w:after="120"/>
        <w:ind w:left="0" w:firstLine="1"/>
        <w:jc w:val="both"/>
        <w:rPr>
          <w:rFonts w:ascii="Arial" w:hAnsi="Arial" w:cs="Arial"/>
          <w:bCs/>
          <w:iCs/>
          <w:color w:val="000000"/>
          <w:sz w:val="20"/>
          <w:szCs w:val="20"/>
        </w:rPr>
      </w:pPr>
      <w:r>
        <w:rPr>
          <w:rFonts w:cs="Arial" w:ascii="Arial" w:hAnsi="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Normal"/>
        <w:numPr>
          <w:ilvl w:val="3"/>
          <w:numId w:val="1"/>
        </w:numPr>
        <w:tabs>
          <w:tab w:val="left" w:pos="709" w:leader="none"/>
          <w:tab w:val="left" w:pos="1276" w:leader="none"/>
          <w:tab w:val="left" w:pos="1560" w:leader="none"/>
          <w:tab w:val="left" w:pos="1985" w:leader="none"/>
        </w:tabs>
        <w:snapToGrid w:val="false"/>
        <w:spacing w:lineRule="auto" w:line="276" w:before="120" w:after="120"/>
        <w:ind w:left="0" w:firstLine="1"/>
        <w:jc w:val="both"/>
        <w:rPr>
          <w:rFonts w:ascii="Arial" w:hAnsi="Arial" w:cs="Arial"/>
          <w:bCs/>
          <w:iCs/>
          <w:color w:val="000000"/>
          <w:sz w:val="20"/>
          <w:szCs w:val="20"/>
        </w:rPr>
      </w:pPr>
      <w:r>
        <w:rPr>
          <w:rFonts w:cs="Arial" w:ascii="Arial" w:hAnsi="Arial"/>
          <w:color w:val="000000"/>
          <w:sz w:val="20"/>
          <w:szCs w:val="20"/>
          <w:lang w:eastAsia="en-US"/>
        </w:rPr>
        <w:t xml:space="preserve">O prazo estabelecido pelo Pregoeiro poderá ser prorrogado por </w:t>
      </w:r>
      <w:r>
        <w:rPr>
          <w:rFonts w:cs="Arial" w:ascii="Arial" w:hAnsi="Arial"/>
          <w:sz w:val="20"/>
          <w:szCs w:val="20"/>
        </w:rPr>
        <w:t>solicitação escrita e justificada do licitante, formulada antes de</w:t>
      </w:r>
      <w:r>
        <w:rPr>
          <w:rFonts w:cs="Arial" w:ascii="Arial" w:hAnsi="Arial"/>
          <w:sz w:val="20"/>
          <w:szCs w:val="20"/>
          <w:lang w:eastAsia="en-US"/>
        </w:rPr>
        <w:t xml:space="preserve"> </w:t>
      </w:r>
      <w:r>
        <w:rPr>
          <w:rFonts w:cs="Arial" w:ascii="Arial" w:hAnsi="Arial"/>
          <w:color w:val="000000"/>
          <w:sz w:val="20"/>
          <w:szCs w:val="20"/>
          <w:lang w:eastAsia="en-US"/>
        </w:rPr>
        <w:t xml:space="preserve">findo o prazo estabelecido, e formalmente aceita pelo Pregoeiro. </w:t>
      </w:r>
    </w:p>
    <w:p>
      <w:pPr>
        <w:pStyle w:val="Normal"/>
        <w:numPr>
          <w:ilvl w:val="1"/>
          <w:numId w:val="1"/>
        </w:numPr>
        <w:tabs>
          <w:tab w:val="left" w:pos="709" w:leader="none"/>
        </w:tabs>
        <w:spacing w:lineRule="auto" w:line="276" w:before="120" w:after="120"/>
        <w:ind w:left="0" w:firstLine="1"/>
        <w:jc w:val="both"/>
        <w:rPr>
          <w:rFonts w:ascii="Arial" w:hAnsi="Arial" w:cs="Arial"/>
          <w:bCs/>
          <w:iCs/>
          <w:color w:val="000000"/>
          <w:sz w:val="20"/>
          <w:szCs w:val="20"/>
        </w:rPr>
      </w:pPr>
      <w:r>
        <w:rPr>
          <w:rFonts w:cs="Arial" w:ascii="Arial" w:hAnsi="Arial"/>
          <w:bCs/>
          <w:iCs/>
          <w:color w:val="000000"/>
          <w:sz w:val="20"/>
          <w:szCs w:val="20"/>
        </w:rPr>
        <w:t>Se a proposta ou lance vencedor for desclassificado, o Pregoeiro examinará a proposta ou lance subsequente, e, assim sucessivamente, na ordem de classificação.</w:t>
      </w:r>
    </w:p>
    <w:p>
      <w:pPr>
        <w:pStyle w:val="Normal"/>
        <w:numPr>
          <w:ilvl w:val="1"/>
          <w:numId w:val="1"/>
        </w:numPr>
        <w:tabs>
          <w:tab w:val="left" w:pos="709" w:leader="none"/>
        </w:tabs>
        <w:spacing w:lineRule="auto" w:line="276" w:before="120" w:after="120"/>
        <w:ind w:left="0" w:firstLine="1"/>
        <w:jc w:val="both"/>
        <w:rPr>
          <w:rFonts w:ascii="Arial" w:hAnsi="Arial" w:cs="Arial"/>
          <w:sz w:val="20"/>
          <w:szCs w:val="20"/>
        </w:rPr>
      </w:pPr>
      <w:r>
        <w:rPr>
          <w:rFonts w:cs="Arial" w:ascii="Arial" w:hAnsi="Arial"/>
          <w:color w:val="000000"/>
          <w:sz w:val="20"/>
          <w:szCs w:val="20"/>
          <w:lang w:eastAsia="en-US"/>
        </w:rPr>
        <w:t>Havendo necessidade, o Pregoeiro suspenderá a sessão, informando no “</w:t>
      </w:r>
      <w:r>
        <w:rPr>
          <w:rFonts w:cs="Arial" w:ascii="Arial" w:hAnsi="Arial"/>
          <w:i/>
          <w:color w:val="000000"/>
          <w:sz w:val="20"/>
          <w:szCs w:val="20"/>
          <w:lang w:eastAsia="en-US"/>
        </w:rPr>
        <w:t>chat</w:t>
      </w:r>
      <w:r>
        <w:rPr>
          <w:rFonts w:cs="Arial" w:ascii="Arial" w:hAnsi="Arial"/>
          <w:color w:val="000000"/>
          <w:sz w:val="20"/>
          <w:szCs w:val="20"/>
          <w:lang w:eastAsia="en-US"/>
        </w:rPr>
        <w:t>” a nova data e horário para a continuidade da mesma.</w:t>
      </w:r>
    </w:p>
    <w:p>
      <w:pPr>
        <w:pStyle w:val="Normal"/>
        <w:numPr>
          <w:ilvl w:val="1"/>
          <w:numId w:val="1"/>
        </w:numPr>
        <w:tabs>
          <w:tab w:val="left" w:pos="709" w:leader="none"/>
        </w:tabs>
        <w:spacing w:lineRule="auto" w:line="276" w:before="120" w:after="120"/>
        <w:ind w:left="0" w:firstLine="1"/>
        <w:jc w:val="both"/>
        <w:rPr>
          <w:rFonts w:ascii="Arial" w:hAnsi="Arial" w:cs="Arial"/>
          <w:sz w:val="20"/>
          <w:szCs w:val="20"/>
        </w:rPr>
      </w:pPr>
      <w:r>
        <w:rPr>
          <w:rFonts w:cs="Arial" w:ascii="Arial" w:hAnsi="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Normal"/>
        <w:numPr>
          <w:ilvl w:val="2"/>
          <w:numId w:val="1"/>
        </w:numPr>
        <w:tabs>
          <w:tab w:val="left" w:pos="709" w:leader="none"/>
          <w:tab w:val="left" w:pos="993" w:leader="none"/>
          <w:tab w:val="left" w:pos="1276" w:leader="none"/>
          <w:tab w:val="left" w:pos="1560" w:leader="none"/>
        </w:tabs>
        <w:snapToGrid w:val="false"/>
        <w:spacing w:lineRule="auto" w:line="276" w:before="120" w:after="120"/>
        <w:ind w:left="0" w:firstLine="1"/>
        <w:jc w:val="both"/>
        <w:rPr>
          <w:rFonts w:ascii="Arial" w:hAnsi="Arial" w:cs="Arial"/>
          <w:sz w:val="20"/>
          <w:szCs w:val="20"/>
        </w:rPr>
      </w:pPr>
      <w:r>
        <w:rPr>
          <w:rFonts w:cs="Arial" w:ascii="Arial" w:hAnsi="Arial"/>
          <w:sz w:val="20"/>
          <w:szCs w:val="20"/>
        </w:rPr>
        <w:t>Também nas hipóteses em que o Pregoeiro não aceitar a proposta e passar à subsequente, poderá negociar com o licitante para que seja obtido preço melhor.</w:t>
      </w:r>
    </w:p>
    <w:p>
      <w:pPr>
        <w:pStyle w:val="Normal"/>
        <w:numPr>
          <w:ilvl w:val="2"/>
          <w:numId w:val="1"/>
        </w:numPr>
        <w:tabs>
          <w:tab w:val="left" w:pos="709" w:leader="none"/>
          <w:tab w:val="left" w:pos="1134" w:leader="none"/>
          <w:tab w:val="left" w:pos="1276" w:leader="none"/>
        </w:tabs>
        <w:snapToGrid w:val="false"/>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A negociação será realizada por meio do sistema, podendo ser acompanhada pelos demais licitantes.</w:t>
      </w:r>
    </w:p>
    <w:p>
      <w:pPr>
        <w:pStyle w:val="Normal"/>
        <w:numPr>
          <w:ilvl w:val="1"/>
          <w:numId w:val="1"/>
        </w:numPr>
        <w:tabs>
          <w:tab w:val="left" w:pos="709"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lang w:eastAsia="en-US"/>
        </w:rPr>
        <w:t>Nos itens não exclusivos a microempresas, empresas de pequeno porte e sociedades cooperativas, s</w:t>
      </w:r>
      <w:r>
        <w:rPr>
          <w:rFonts w:cs="Arial" w:ascii="Arial" w:hAnsi="Arial"/>
          <w:color w:val="000000"/>
          <w:sz w:val="20"/>
          <w:szCs w:val="20"/>
        </w:rPr>
        <w:t xml:space="preserve">empre que a proposta não for aceita, e antes de o pregoeiro passar à subsequente, haverá nova verificação, pelo sistema, da eventual ocorrência do empate ficto, previsto nos artigos </w:t>
      </w:r>
      <w:r>
        <w:rPr>
          <w:rFonts w:cs="Arial" w:ascii="Arial" w:hAnsi="Arial"/>
          <w:bCs/>
          <w:color w:val="000000"/>
          <w:sz w:val="20"/>
          <w:szCs w:val="20"/>
        </w:rPr>
        <w:t>44 e 45 da LC nº 123, de 2006, seguindo-se a disciplina antes estabelecida, se for o caso.</w:t>
      </w:r>
    </w:p>
    <w:p>
      <w:pPr>
        <w:pStyle w:val="Normal"/>
        <w:numPr>
          <w:ilvl w:val="1"/>
          <w:numId w:val="1"/>
        </w:numPr>
        <w:tabs>
          <w:tab w:val="left" w:pos="709" w:leader="none"/>
          <w:tab w:val="left" w:pos="1134" w:leader="none"/>
          <w:tab w:val="left" w:pos="1276" w:leader="none"/>
        </w:tabs>
        <w:spacing w:lineRule="auto" w:line="276" w:before="0" w:after="120"/>
        <w:ind w:left="0" w:hanging="0"/>
        <w:jc w:val="both"/>
        <w:rPr>
          <w:rFonts w:ascii="Arial" w:hAnsi="Arial" w:cs="Arial"/>
          <w:color w:val="000000"/>
          <w:sz w:val="20"/>
          <w:szCs w:val="20"/>
        </w:rPr>
      </w:pPr>
      <w:r>
        <w:rPr>
          <w:rFonts w:cs="Arial" w:ascii="Arial" w:hAnsi="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cs="Arial" w:ascii="Arial" w:hAnsi="Arial"/>
          <w:bCs/>
          <w:color w:val="000000"/>
          <w:sz w:val="20"/>
          <w:szCs w:val="20"/>
        </w:rPr>
        <w:t>observado o preço da proposta vencedora.</w:t>
      </w:r>
    </w:p>
    <w:p>
      <w:pPr>
        <w:pStyle w:val="Normal"/>
        <w:tabs>
          <w:tab w:val="left" w:pos="709" w:leader="none"/>
        </w:tabs>
        <w:spacing w:lineRule="auto" w:line="276" w:before="0" w:after="120"/>
        <w:ind w:firstLine="1"/>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tabs>
          <w:tab w:val="left" w:pos="284" w:leader="none"/>
          <w:tab w:val="left" w:pos="993" w:leader="none"/>
        </w:tabs>
        <w:spacing w:lineRule="auto" w:line="276" w:before="120" w:after="120"/>
        <w:ind w:left="0" w:firstLine="1"/>
        <w:jc w:val="both"/>
        <w:rPr>
          <w:rFonts w:ascii="Arial" w:hAnsi="Arial" w:cs="Arial"/>
          <w:b/>
          <w:b/>
          <w:color w:val="000000"/>
          <w:sz w:val="20"/>
          <w:szCs w:val="20"/>
        </w:rPr>
      </w:pPr>
      <w:r>
        <w:rPr>
          <w:rFonts w:cs="Arial" w:ascii="Arial" w:hAnsi="Arial"/>
          <w:b/>
          <w:color w:val="000000"/>
          <w:sz w:val="20"/>
          <w:szCs w:val="20"/>
          <w:lang w:eastAsia="en-US"/>
        </w:rPr>
        <w:t xml:space="preserve">DA HABILITAÇÃO </w:t>
      </w:r>
    </w:p>
    <w:p>
      <w:pPr>
        <w:pStyle w:val="ListParagraph"/>
        <w:numPr>
          <w:ilvl w:val="1"/>
          <w:numId w:val="1"/>
        </w:numPr>
        <w:tabs>
          <w:tab w:val="left" w:pos="709" w:leader="none"/>
        </w:tabs>
        <w:spacing w:lineRule="auto" w:line="276" w:before="120" w:after="120"/>
        <w:ind w:left="0" w:firstLine="1"/>
        <w:contextualSpacing/>
        <w:jc w:val="both"/>
        <w:rPr>
          <w:rFonts w:ascii="Arial" w:hAnsi="Arial" w:cs="Arial"/>
          <w:sz w:val="20"/>
          <w:szCs w:val="20"/>
        </w:rPr>
      </w:pPr>
      <w:r>
        <w:rPr>
          <w:rFonts w:cs="Arial" w:ascii="Arial" w:hAnsi="Arial"/>
          <w:sz w:val="20"/>
          <w:szCs w:val="20"/>
          <w:lang w:eastAsia="ar-SA"/>
        </w:rPr>
        <w:t>Como condição prévia ao exame da documentação de habilitação</w:t>
      </w:r>
      <w:r>
        <w:rPr>
          <w:rFonts w:cs="Arial" w:ascii="Arial" w:hAnsi="Arial"/>
          <w:sz w:val="20"/>
          <w:szCs w:val="20"/>
        </w:rPr>
        <w:t xml:space="preserve"> do licitante detentor da proposta </w:t>
      </w:r>
      <w:r>
        <w:rPr>
          <w:rFonts w:cs="Arial" w:ascii="Arial" w:hAnsi="Arial"/>
          <w:color w:val="000000"/>
          <w:sz w:val="20"/>
          <w:szCs w:val="20"/>
        </w:rPr>
        <w:t>classificada em primeiro lugar</w:t>
      </w:r>
      <w:r>
        <w:rPr>
          <w:rFonts w:cs="Arial" w:ascii="Arial" w:hAnsi="Arial"/>
          <w:sz w:val="20"/>
          <w:szCs w:val="20"/>
          <w:lang w:eastAsia="ar-SA"/>
        </w:rPr>
        <w:t xml:space="preserve">, </w:t>
      </w:r>
      <w:r>
        <w:rPr>
          <w:rFonts w:cs="Arial" w:ascii="Arial" w:hAnsi="Arial"/>
          <w:sz w:val="20"/>
          <w:szCs w:val="20"/>
        </w:rPr>
        <w:t xml:space="preserve">o Pregoeiro </w:t>
      </w:r>
      <w:r>
        <w:rPr>
          <w:rFonts w:cs="Arial" w:ascii="Arial" w:hAnsi="Arial"/>
          <w:sz w:val="20"/>
          <w:szCs w:val="20"/>
          <w:lang w:eastAsia="ar-SA"/>
        </w:rPr>
        <w:t>verificará o eventual descumprimento das condições de participação, especialmente quanto à</w:t>
      </w:r>
      <w:r>
        <w:rPr>
          <w:rFonts w:cs="Arial" w:ascii="Arial" w:hAnsi="Arial"/>
          <w:sz w:val="20"/>
          <w:szCs w:val="20"/>
        </w:rPr>
        <w:t xml:space="preserve"> existência de sanção que impeça a participação no certame ou a futura contratação, mediante a consulta aos seguintes cadastros:</w:t>
      </w:r>
    </w:p>
    <w:p>
      <w:pPr>
        <w:pStyle w:val="ListParagraph"/>
        <w:numPr>
          <w:ilvl w:val="2"/>
          <w:numId w:val="1"/>
        </w:numPr>
        <w:tabs>
          <w:tab w:val="left" w:pos="709" w:leader="none"/>
        </w:tabs>
        <w:spacing w:lineRule="auto" w:line="276" w:before="120" w:after="120"/>
        <w:ind w:left="0" w:firstLine="1"/>
        <w:contextualSpacing/>
        <w:jc w:val="both"/>
        <w:rPr>
          <w:rFonts w:ascii="Arial" w:hAnsi="Arial" w:cs="Arial"/>
          <w:sz w:val="20"/>
          <w:szCs w:val="20"/>
        </w:rPr>
      </w:pPr>
      <w:r>
        <w:rPr>
          <w:rFonts w:cs="Arial" w:ascii="Arial" w:hAnsi="Arial"/>
          <w:sz w:val="20"/>
          <w:szCs w:val="20"/>
        </w:rPr>
        <w:t>SICAF;</w:t>
      </w:r>
    </w:p>
    <w:p>
      <w:pPr>
        <w:pStyle w:val="ListParagraph"/>
        <w:numPr>
          <w:ilvl w:val="2"/>
          <w:numId w:val="1"/>
        </w:numPr>
        <w:tabs>
          <w:tab w:val="left" w:pos="709" w:leader="none"/>
        </w:tabs>
        <w:spacing w:lineRule="auto" w:line="276" w:before="120" w:after="120"/>
        <w:ind w:left="0" w:firstLine="1"/>
        <w:contextualSpacing/>
        <w:jc w:val="both"/>
        <w:rPr/>
      </w:pPr>
      <w:r>
        <w:rPr>
          <w:rFonts w:cs="Arial" w:ascii="Arial" w:hAnsi="Arial"/>
          <w:sz w:val="20"/>
          <w:szCs w:val="20"/>
        </w:rPr>
        <w:t>Cadastro Nacional de Empresas Inidôneas e Suspensas – CEIS, mantido pela Controladoria-Geral da União (</w:t>
      </w:r>
      <w:hyperlink r:id="rId3">
        <w:r>
          <w:rPr>
            <w:rStyle w:val="LinkdaInternet"/>
            <w:rFonts w:cs="Arial" w:ascii="Arial" w:hAnsi="Arial"/>
            <w:color w:val="0000FF"/>
            <w:sz w:val="20"/>
            <w:szCs w:val="20"/>
          </w:rPr>
          <w:t>www.portaldatransparencia.gov.br/ceis</w:t>
        </w:r>
      </w:hyperlink>
      <w:r>
        <w:rPr>
          <w:rFonts w:cs="Arial" w:ascii="Arial" w:hAnsi="Arial"/>
          <w:sz w:val="20"/>
          <w:szCs w:val="20"/>
        </w:rPr>
        <w:t>);</w:t>
      </w:r>
    </w:p>
    <w:p>
      <w:pPr>
        <w:pStyle w:val="ListParagraph"/>
        <w:numPr>
          <w:ilvl w:val="2"/>
          <w:numId w:val="1"/>
        </w:numPr>
        <w:tabs>
          <w:tab w:val="left" w:pos="709" w:leader="none"/>
        </w:tabs>
        <w:spacing w:lineRule="auto" w:line="276" w:before="120" w:after="120"/>
        <w:ind w:left="0" w:firstLine="1"/>
        <w:contextualSpacing/>
        <w:jc w:val="both"/>
        <w:rPr/>
      </w:pPr>
      <w:r>
        <w:rPr>
          <w:rFonts w:cs="Arial" w:ascii="Arial" w:hAnsi="Arial"/>
          <w:bCs/>
          <w:sz w:val="20"/>
          <w:szCs w:val="20"/>
        </w:rPr>
        <w:t>Cadastro Nacional de Condenações Cíveis por Atos de Improbidade Administrativa, mantido pelo Conselho Nacional de Justiça</w:t>
      </w:r>
      <w:r>
        <w:rPr>
          <w:rFonts w:cs="Arial" w:ascii="Arial" w:hAnsi="Arial"/>
          <w:sz w:val="20"/>
          <w:szCs w:val="20"/>
        </w:rPr>
        <w:t xml:space="preserve"> (</w:t>
      </w:r>
      <w:hyperlink r:id="rId4">
        <w:r>
          <w:rPr>
            <w:rStyle w:val="LinkdaInternet"/>
            <w:rFonts w:cs="Arial" w:ascii="Arial" w:hAnsi="Arial"/>
            <w:color w:val="0000FF"/>
            <w:sz w:val="20"/>
            <w:szCs w:val="20"/>
          </w:rPr>
          <w:t>www.</w:t>
        </w:r>
        <w:r>
          <w:rPr>
            <w:rStyle w:val="LinkdaInternet"/>
            <w:rFonts w:cs="Arial" w:ascii="Arial" w:hAnsi="Arial"/>
            <w:bCs/>
            <w:color w:val="0000FF"/>
            <w:sz w:val="20"/>
            <w:szCs w:val="20"/>
          </w:rPr>
          <w:t>cnj</w:t>
        </w:r>
        <w:r>
          <w:rPr>
            <w:rStyle w:val="LinkdaInternet"/>
            <w:rFonts w:cs="Arial" w:ascii="Arial" w:hAnsi="Arial"/>
            <w:color w:val="0000FF"/>
            <w:sz w:val="20"/>
            <w:szCs w:val="20"/>
          </w:rPr>
          <w:t>.jus.br/</w:t>
        </w:r>
        <w:r>
          <w:rPr>
            <w:rStyle w:val="LinkdaInternet"/>
            <w:rFonts w:cs="Arial" w:ascii="Arial" w:hAnsi="Arial"/>
            <w:bCs/>
            <w:color w:val="0000FF"/>
            <w:sz w:val="20"/>
            <w:szCs w:val="20"/>
          </w:rPr>
          <w:t>improbidade</w:t>
        </w:r>
        <w:r>
          <w:rPr>
            <w:rStyle w:val="LinkdaInternet"/>
            <w:rFonts w:cs="Arial" w:ascii="Arial" w:hAnsi="Arial"/>
            <w:color w:val="0000FF"/>
            <w:sz w:val="20"/>
            <w:szCs w:val="20"/>
          </w:rPr>
          <w:t>_adm/consultar_requerido.php</w:t>
        </w:r>
      </w:hyperlink>
      <w:r>
        <w:rPr>
          <w:rFonts w:cs="Arial" w:ascii="Arial" w:hAnsi="Arial"/>
          <w:sz w:val="20"/>
          <w:szCs w:val="20"/>
        </w:rPr>
        <w:t>).</w:t>
      </w:r>
    </w:p>
    <w:p>
      <w:pPr>
        <w:pStyle w:val="ListParagraph"/>
        <w:numPr>
          <w:ilvl w:val="2"/>
          <w:numId w:val="1"/>
        </w:numPr>
        <w:tabs>
          <w:tab w:val="left" w:pos="709" w:leader="none"/>
        </w:tabs>
        <w:spacing w:lineRule="auto" w:line="276" w:before="120" w:after="120"/>
        <w:ind w:left="0" w:firstLine="1"/>
        <w:contextualSpacing/>
        <w:jc w:val="both"/>
        <w:rPr>
          <w:rFonts w:ascii="Arial" w:hAnsi="Arial" w:cs="Arial"/>
          <w:sz w:val="20"/>
          <w:szCs w:val="20"/>
        </w:rPr>
      </w:pPr>
      <w:r>
        <w:rPr>
          <w:rFonts w:cs="Arial" w:ascii="Arial" w:hAnsi="Arial"/>
          <w:sz w:val="20"/>
          <w:szCs w:val="20"/>
        </w:rPr>
        <w:t>Lista de Inidôneos, mantida pelo Tribunal de Contas da União – TCU;</w:t>
      </w:r>
    </w:p>
    <w:p>
      <w:pPr>
        <w:pStyle w:val="ListParagraph"/>
        <w:numPr>
          <w:ilvl w:val="2"/>
          <w:numId w:val="1"/>
        </w:numPr>
        <w:tabs>
          <w:tab w:val="left" w:pos="709" w:leader="none"/>
          <w:tab w:val="left" w:pos="1276" w:leader="none"/>
          <w:tab w:val="left" w:pos="1418"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Constatada a existência de sanção, o Pregoeiro reputará o licitante inabilitado, por falta de condição de participação.</w:t>
      </w:r>
    </w:p>
    <w:p>
      <w:pPr>
        <w:pStyle w:val="Normal"/>
        <w:numPr>
          <w:ilvl w:val="2"/>
          <w:numId w:val="1"/>
        </w:numPr>
        <w:tabs>
          <w:tab w:val="left" w:pos="709" w:leader="none"/>
          <w:tab w:val="left" w:pos="1134" w:leader="none"/>
          <w:tab w:val="left" w:pos="1276" w:leader="none"/>
          <w:tab w:val="left" w:pos="1418" w:leader="none"/>
        </w:tabs>
        <w:snapToGrid w:val="false"/>
        <w:spacing w:lineRule="auto" w:line="276" w:before="120" w:after="120"/>
        <w:ind w:left="0" w:firstLine="1"/>
        <w:jc w:val="both"/>
        <w:rPr>
          <w:rFonts w:ascii="Arial" w:hAnsi="Arial" w:cs="Arial"/>
          <w:bCs/>
          <w:color w:val="000000"/>
          <w:sz w:val="20"/>
          <w:szCs w:val="20"/>
        </w:rPr>
      </w:pPr>
      <w:r>
        <w:rPr>
          <w:rFonts w:cs="Arial" w:ascii="Arial" w:hAnsi="Arial"/>
          <w:color w:val="000000"/>
          <w:sz w:val="20"/>
          <w:szCs w:val="20"/>
        </w:rPr>
        <w:t xml:space="preserve">Caso o Pregoeiro não logre êxito em obter a certidão correspondente através do sítio oficial, </w:t>
      </w:r>
      <w:r>
        <w:rPr>
          <w:rFonts w:cs="Arial" w:ascii="Arial" w:hAnsi="Arial"/>
          <w:sz w:val="20"/>
          <w:szCs w:val="20"/>
        </w:rPr>
        <w:t>ou na hipótese de se encontrar vencida no referido sistema</w:t>
      </w:r>
      <w:r>
        <w:rPr>
          <w:rFonts w:cs="Arial" w:ascii="Arial" w:hAnsi="Arial"/>
          <w:b/>
          <w:sz w:val="20"/>
          <w:szCs w:val="20"/>
          <w:u w:val="single"/>
        </w:rPr>
        <w:t>,</w:t>
      </w:r>
      <w:r>
        <w:rPr>
          <w:rFonts w:cs="Arial" w:ascii="Arial" w:hAnsi="Arial"/>
          <w:sz w:val="20"/>
          <w:szCs w:val="20"/>
        </w:rPr>
        <w:t xml:space="preserve"> o licitante </w:t>
      </w:r>
      <w:r>
        <w:rPr>
          <w:rFonts w:cs="Arial" w:ascii="Arial" w:hAnsi="Arial"/>
          <w:color w:val="000000"/>
          <w:sz w:val="20"/>
          <w:szCs w:val="20"/>
        </w:rPr>
        <w:t>será convocado a encaminhar, no prazo de 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Normal"/>
        <w:numPr>
          <w:ilvl w:val="1"/>
          <w:numId w:val="1"/>
        </w:numPr>
        <w:tabs>
          <w:tab w:val="left" w:pos="709" w:leader="none"/>
        </w:tabs>
        <w:spacing w:lineRule="auto" w:line="276" w:before="120" w:after="120"/>
        <w:ind w:left="0" w:firstLine="1"/>
        <w:jc w:val="both"/>
        <w:rPr>
          <w:rFonts w:ascii="Arial" w:hAnsi="Arial" w:cs="Arial"/>
          <w:bCs/>
          <w:color w:val="000000"/>
          <w:sz w:val="20"/>
          <w:szCs w:val="20"/>
        </w:rPr>
      </w:pPr>
      <w:r>
        <w:rPr>
          <w:rFonts w:cs="Arial" w:ascii="Arial" w:hAnsi="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cs="Arial" w:ascii="Arial" w:hAnsi="Arial"/>
          <w:color w:val="000000"/>
          <w:sz w:val="20"/>
          <w:szCs w:val="20"/>
        </w:rPr>
        <w:t>, nas condições seguintes</w:t>
      </w:r>
      <w:r>
        <w:rPr>
          <w:rFonts w:cs="Arial" w:ascii="Arial" w:hAnsi="Arial"/>
          <w:bCs/>
          <w:color w:val="000000"/>
          <w:sz w:val="20"/>
          <w:szCs w:val="20"/>
        </w:rPr>
        <w:t>:</w:t>
      </w:r>
    </w:p>
    <w:p>
      <w:pPr>
        <w:pStyle w:val="Normal"/>
        <w:numPr>
          <w:ilvl w:val="1"/>
          <w:numId w:val="1"/>
        </w:numPr>
        <w:tabs>
          <w:tab w:val="left" w:pos="709" w:leader="none"/>
        </w:tabs>
        <w:spacing w:lineRule="auto" w:line="276" w:before="120" w:after="120"/>
        <w:ind w:left="0" w:firstLine="1"/>
        <w:jc w:val="both"/>
        <w:rPr>
          <w:rFonts w:ascii="Arial" w:hAnsi="Arial" w:cs="Arial"/>
          <w:b/>
          <w:b/>
          <w:bCs/>
          <w:color w:val="000000"/>
          <w:sz w:val="20"/>
          <w:szCs w:val="20"/>
        </w:rPr>
      </w:pPr>
      <w:r>
        <w:rPr>
          <w:rFonts w:cs="Arial" w:ascii="Arial" w:hAnsi="Arial"/>
          <w:b/>
          <w:bCs/>
          <w:color w:val="000000"/>
          <w:sz w:val="20"/>
          <w:szCs w:val="20"/>
        </w:rPr>
        <w:t xml:space="preserve">Habilitação jurídica: </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empresário individual: inscrição no Registro Público de Empresas Mercantis, a cargo da Junta Comercial da respectiva sede;</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sociedade simples: inscrição do ato constitutivo no Registro Civil das Pessoas Jurídicas do local de sua sede, acompanhada de prova da indicação dos seus administradores;</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sz w:val="20"/>
          <w:szCs w:val="20"/>
        </w:rPr>
        <w:t>No caso de agricultor familiar: Declaração de Aptidão ao Pronaf – DAP ou DAP-P válida, ou, ainda, outros documentos definidos pelo Ministério do Desenvolvimento Agrário, nos termos do art. 4º, §2º do Decreto n. 7.775, de 2012.</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sz w:val="20"/>
          <w:szCs w:val="20"/>
        </w:rPr>
        <w:t>No caso de produtor rural: matrícula no Cadastro Específico do INSS – CEI, que comprove a qualificação como produtor rural pessoa física, nos termos da Instrução Normativa RFB n. 971, de 2009 (arts. 17 a 19 e 165).</w:t>
      </w:r>
    </w:p>
    <w:p>
      <w:pPr>
        <w:pStyle w:val="ListParagraph"/>
        <w:numPr>
          <w:ilvl w:val="2"/>
          <w:numId w:val="1"/>
        </w:numPr>
        <w:tabs>
          <w:tab w:val="left" w:pos="709" w:leader="none"/>
          <w:tab w:val="left" w:pos="1134" w:leader="none"/>
          <w:tab w:val="left" w:pos="1276"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No caso de empresa ou sociedade estrangeira em funcionamento no País: decreto de autorização;</w:t>
      </w:r>
    </w:p>
    <w:p>
      <w:pPr>
        <w:pStyle w:val="ListParagraph"/>
        <w:numPr>
          <w:ilvl w:val="2"/>
          <w:numId w:val="1"/>
        </w:numPr>
        <w:tabs>
          <w:tab w:val="left" w:pos="709" w:leader="none"/>
          <w:tab w:val="left" w:pos="1276" w:leader="none"/>
          <w:tab w:val="left" w:pos="1418"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Os documentos acima deverão estar acompanhados de todas as alterações ou da consolidação respectiva;</w:t>
      </w:r>
    </w:p>
    <w:p>
      <w:pPr>
        <w:pStyle w:val="Normal"/>
        <w:numPr>
          <w:ilvl w:val="1"/>
          <w:numId w:val="1"/>
        </w:numPr>
        <w:tabs>
          <w:tab w:val="left" w:pos="709" w:leader="none"/>
          <w:tab w:val="left" w:pos="1134" w:leader="none"/>
          <w:tab w:val="left" w:pos="1276" w:leader="none"/>
          <w:tab w:val="left" w:pos="1418" w:leader="none"/>
        </w:tabs>
        <w:spacing w:lineRule="auto" w:line="276" w:before="120" w:after="120"/>
        <w:ind w:left="0" w:firstLine="1"/>
        <w:jc w:val="both"/>
        <w:rPr>
          <w:rFonts w:ascii="Arial" w:hAnsi="Arial" w:cs="Arial"/>
          <w:b/>
          <w:b/>
          <w:bCs/>
          <w:color w:val="000000"/>
          <w:sz w:val="20"/>
          <w:szCs w:val="20"/>
        </w:rPr>
      </w:pPr>
      <w:r>
        <w:rPr>
          <w:rFonts w:cs="Arial" w:ascii="Arial" w:hAnsi="Arial"/>
          <w:b/>
          <w:bCs/>
          <w:color w:val="000000"/>
          <w:sz w:val="20"/>
          <w:szCs w:val="20"/>
        </w:rPr>
        <w:t>Regularidade fiscal e trabalhista:</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rPr>
      </w:pPr>
      <w:r>
        <w:rPr>
          <w:rFonts w:cs="Arial" w:ascii="Arial" w:hAnsi="Arial"/>
          <w:sz w:val="20"/>
          <w:szCs w:val="20"/>
          <w:lang w:eastAsia="en-US"/>
        </w:rPr>
        <w:t>prova de inscrição no Cadastro Nacional de Pessoas Jurídicas ou no Cadastro de Pessoas Físicas, conforme o caso;</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rPr>
      </w:pPr>
      <w:r>
        <w:rPr>
          <w:rFonts w:cs="Arial" w:ascii="Arial" w:hAnsi="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Cs w:val="20"/>
        </w:rPr>
      </w:pPr>
      <w:r>
        <w:rPr>
          <w:rFonts w:cs="Arial" w:ascii="Arial" w:hAnsi="Arial"/>
          <w:color w:val="000000"/>
          <w:sz w:val="20"/>
          <w:szCs w:val="20"/>
          <w:lang w:eastAsia="en-US"/>
        </w:rPr>
        <w:t>prova de regularidade com o Fundo de Garantia do Tempo de Serviço (FGTS)</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Cs w:val="20"/>
        </w:rPr>
      </w:pPr>
      <w:r>
        <w:rPr>
          <w:rFonts w:cs="Arial" w:ascii="Arial" w:hAnsi="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 xml:space="preserve">prova de inscrição no cadastro de contribuintes estadual, relativo ao domicílio ou sede do licitante, pertinente ao seu ramo de atividade e compatível com o objeto contratual; </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 xml:space="preserve">prova de regularidade com a Fazenda Estadual do domicílio ou sede do licitante; </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b/>
          <w:b/>
          <w:bCs/>
          <w:iCs/>
          <w:color w:val="7030A0"/>
          <w:sz w:val="20"/>
          <w:szCs w:val="20"/>
          <w:u w:val="single"/>
        </w:rPr>
      </w:pPr>
      <w:r>
        <w:rPr>
          <w:rFonts w:cs="Arial" w:ascii="Arial" w:hAnsi="Arial"/>
          <w:color w:val="000000"/>
          <w:sz w:val="20"/>
          <w:szCs w:val="20"/>
          <w:lang w:eastAsia="en-US" w:bidi="pt-BR"/>
        </w:rPr>
        <w:t xml:space="preserve">caso o licitante detentor do menor preço seja qualificado como microempresa ou empresa de pequeno porte </w:t>
      </w:r>
      <w:r>
        <w:rPr>
          <w:rFonts w:cs="Arial" w:ascii="Arial" w:hAnsi="Arial"/>
          <w:color w:val="000000"/>
          <w:sz w:val="20"/>
          <w:szCs w:val="20"/>
          <w:lang w:eastAsia="en-US"/>
        </w:rPr>
        <w:t>deverá apresentar toda a documentação exigida para efeito de comprovação de regularidade fiscal, mesmo que esta apresente alguma restrição, sob pena de inabilitação.</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Conforme descrito no item 1.5.1. do Termo de Referência, para os itens enquadrados no Anexo II da Instrução Normativa IBAMA n° 31, de 03/12/2009, o Pregoeiro solicitará ao licitante provisoriamente classificado em primeiro lugar que apresente ou envie imediatamente, sob pena de não-aceitação/habilitação da proposta, o Comprovante de Registro do fabricante do produto no Cadastro Técnico Federal de Atividades Potencialmente Poluidoras ou Utilizadoras de Recursos Ambientais, acompanhado do respectivo Certificado de Regularidade válido, nos termos do artigo 17, inciso II, da Lei n° 6.938, de 1981, e da Instrução Normativa IBAMA n° 31, de 03/12/2009, e legislação correlata, ou ainda que apresente as devidas licenças ambientais do fabricante, referentes aos itens.</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A apresentação do Certificado de Regularidade será dispensada, caso o Pregoeiro logre êxito em obtê-lo mediante consulta on line ao sítio oficial do IBAMA, imprimindo-o e anexando-o ao processo;</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Caso o fabricante seja dispensado de tal registro, por força de dispositivo legal, o licitante deverá apresentar o documento comprobatório ou declaração correspondente, sob as penas da lei.</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Caso não seja possível a obtenção do produto com o cumprimento da exigência do registro no CTF do seu fabricante o pregoeiro poderá solicitar as demais licenças ambientais do fabricante, bem como acostar a justificativa ao processo.</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pPr>
      <w:r>
        <w:rPr>
          <w:rFonts w:cs="Arial" w:ascii="Arial" w:hAnsi="Arial"/>
          <w:sz w:val="20"/>
          <w:szCs w:val="20"/>
          <w:lang w:eastAsia="en-US"/>
        </w:rPr>
        <w:t xml:space="preserve">Os documentos exigidos para habilitação relacionados nos subitens acima, deverão ser apresentados em meio digital pelos licitantes, por meio de funcionalidade presente no sistema (upload), no prazo de 2 (duas) horas, após solicitação do Pregoeiro no sistema eletrônico.  Somente mediante autorização do Pregoeiro e em caso de indisponibilidade do sistema, será aceito o envio da documentação por meio do e-mail: </w:t>
      </w:r>
      <w:hyperlink r:id="rId5">
        <w:r>
          <w:rPr>
            <w:rStyle w:val="LinkdaInternet"/>
            <w:rFonts w:cs="Arial" w:ascii="Arial" w:hAnsi="Arial"/>
            <w:i/>
            <w:sz w:val="20"/>
            <w:szCs w:val="20"/>
            <w:lang w:eastAsia="en-US"/>
          </w:rPr>
          <w:t>licitacoesuffs@gmail.com</w:t>
        </w:r>
      </w:hyperlink>
      <w:r>
        <w:rPr>
          <w:rFonts w:cs="Arial" w:ascii="Arial" w:hAnsi="Arial"/>
          <w:sz w:val="20"/>
          <w:szCs w:val="20"/>
          <w:lang w:eastAsia="en-US"/>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72 (setenta e duas) horas, após encerrado o prazo para o encaminhamento via funcionalidade do sistema (upload), fac-símile (fax) ou e-mail.</w:t>
      </w:r>
    </w:p>
    <w:p>
      <w:pPr>
        <w:pStyle w:val="Normal"/>
        <w:numPr>
          <w:ilvl w:val="2"/>
          <w:numId w:val="1"/>
        </w:numPr>
        <w:tabs>
          <w:tab w:val="left" w:pos="709" w:leader="none"/>
          <w:tab w:val="left" w:pos="1276" w:leader="none"/>
          <w:tab w:val="left" w:pos="1418" w:leader="none"/>
        </w:tabs>
        <w:snapToGrid w:val="false"/>
        <w:spacing w:lineRule="auto" w:line="276" w:before="120" w:after="120"/>
        <w:ind w:left="0" w:firstLine="1"/>
        <w:jc w:val="both"/>
        <w:rPr>
          <w:rFonts w:ascii="Arial" w:hAnsi="Arial" w:cs="Arial"/>
          <w:sz w:val="20"/>
          <w:szCs w:val="20"/>
          <w:lang w:eastAsia="en-US"/>
        </w:rPr>
      </w:pPr>
      <w:r>
        <w:rPr>
          <w:rFonts w:cs="Arial" w:ascii="Arial" w:hAnsi="Arial"/>
          <w:sz w:val="20"/>
          <w:szCs w:val="20"/>
          <w:lang w:eastAsia="en-US"/>
        </w:rPr>
        <w:t>Não serão aceitos documentos com indicação de CNPJ/CPF diferentes, salvo aqueles legalmente permitidos.</w:t>
      </w:r>
    </w:p>
    <w:p>
      <w:pPr>
        <w:pStyle w:val="ListParagraph"/>
        <w:numPr>
          <w:ilvl w:val="1"/>
          <w:numId w:val="1"/>
        </w:numPr>
        <w:tabs>
          <w:tab w:val="left" w:pos="709" w:leader="none"/>
          <w:tab w:val="left" w:pos="1276" w:leader="none"/>
          <w:tab w:val="left" w:pos="1418" w:leader="none"/>
          <w:tab w:val="left" w:pos="1560"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pPr>
        <w:pStyle w:val="ListParagraph"/>
        <w:numPr>
          <w:ilvl w:val="2"/>
          <w:numId w:val="2"/>
        </w:numPr>
        <w:tabs>
          <w:tab w:val="left" w:pos="709"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A declaração do vencedor acontecerá no momento imediatamente posterior à fase de habilitação.</w:t>
      </w:r>
    </w:p>
    <w:p>
      <w:pPr>
        <w:pStyle w:val="ListParagraph"/>
        <w:numPr>
          <w:ilvl w:val="1"/>
          <w:numId w:val="2"/>
        </w:numPr>
        <w:tabs>
          <w:tab w:val="left" w:pos="709" w:leader="none"/>
          <w:tab w:val="left" w:pos="1276" w:leader="none"/>
          <w:tab w:val="left" w:pos="1418"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ListParagraph"/>
        <w:numPr>
          <w:ilvl w:val="1"/>
          <w:numId w:val="2"/>
        </w:numPr>
        <w:tabs>
          <w:tab w:val="left" w:pos="709" w:leader="none"/>
          <w:tab w:val="left" w:pos="1276" w:leader="none"/>
          <w:tab w:val="left" w:pos="1418" w:leader="none"/>
        </w:tabs>
        <w:spacing w:lineRule="auto" w:line="276" w:before="120" w:after="120"/>
        <w:ind w:left="0" w:firstLine="1"/>
        <w:contextualSpacing/>
        <w:jc w:val="both"/>
        <w:rPr>
          <w:rFonts w:ascii="Arial" w:hAnsi="Arial" w:cs="Arial"/>
          <w:bCs/>
          <w:color w:val="000000"/>
          <w:sz w:val="20"/>
          <w:szCs w:val="20"/>
        </w:rPr>
      </w:pPr>
      <w:r>
        <w:rPr>
          <w:rFonts w:cs="Arial" w:ascii="Arial" w:hAnsi="Arial"/>
          <w:bCs/>
          <w:color w:val="000000"/>
          <w:sz w:val="20"/>
          <w:szCs w:val="20"/>
        </w:rPr>
        <w:t>A não-regularização fiscal no prazo previsto no subitem anterior acarretará a inabilitação do licitante, sem prejuízo das sanções previstas neste Edital, com a reabertura da sessão pública.</w:t>
      </w:r>
    </w:p>
    <w:p>
      <w:pPr>
        <w:pStyle w:val="Normal"/>
        <w:numPr>
          <w:ilvl w:val="1"/>
          <w:numId w:val="1"/>
        </w:numPr>
        <w:tabs>
          <w:tab w:val="left" w:pos="709" w:leader="none"/>
          <w:tab w:val="left" w:pos="1276" w:leader="none"/>
          <w:tab w:val="left" w:pos="1418"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Havendo necessidade de analisar minuciosamente os documentos exigidos, o Pregoeiro suspenderá a sessão, informando no “chat” a nova data e horário para a continuidade da mesma.</w:t>
      </w:r>
    </w:p>
    <w:p>
      <w:pPr>
        <w:pStyle w:val="Normal"/>
        <w:numPr>
          <w:ilvl w:val="1"/>
          <w:numId w:val="1"/>
        </w:numPr>
        <w:tabs>
          <w:tab w:val="left" w:pos="709" w:leader="none"/>
          <w:tab w:val="left" w:pos="1276" w:leader="none"/>
          <w:tab w:val="left" w:pos="1418"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Será inabilitado o licitante que não comprovar sua habilitação, deixar de apresentar quaisquer dos documentos exigidos para a habilitação, ou apresentá-los em desacordo com o e</w:t>
      </w:r>
      <w:r>
        <w:rPr>
          <w:rFonts w:cs="Arial" w:ascii="Arial" w:hAnsi="Arial"/>
          <w:color w:val="000000"/>
          <w:sz w:val="20"/>
          <w:szCs w:val="20"/>
          <w:lang w:eastAsia="en-US"/>
        </w:rPr>
        <w:t>stabelecido neste Edital.</w:t>
      </w:r>
    </w:p>
    <w:p>
      <w:pPr>
        <w:pStyle w:val="Normal"/>
        <w:numPr>
          <w:ilvl w:val="1"/>
          <w:numId w:val="1"/>
        </w:numPr>
        <w:tabs>
          <w:tab w:val="left" w:pos="709" w:leader="none"/>
          <w:tab w:val="left" w:pos="1276" w:leader="none"/>
          <w:tab w:val="left" w:pos="1418" w:leader="none"/>
        </w:tabs>
        <w:spacing w:lineRule="auto" w:line="276" w:before="120" w:after="120"/>
        <w:ind w:left="0" w:firstLine="1"/>
        <w:jc w:val="both"/>
        <w:rPr>
          <w:rFonts w:ascii="Arial" w:hAnsi="Arial" w:cs="Arial"/>
          <w:color w:val="000000"/>
          <w:sz w:val="20"/>
          <w:szCs w:val="20"/>
        </w:rPr>
      </w:pPr>
      <w:r>
        <w:rPr>
          <w:rFonts w:cs="Arial" w:ascii="Arial" w:hAnsi="Arial"/>
          <w:color w:val="000000"/>
          <w:sz w:val="20"/>
          <w:szCs w:val="20"/>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pPr>
        <w:pStyle w:val="Normal"/>
        <w:numPr>
          <w:ilvl w:val="1"/>
          <w:numId w:val="1"/>
        </w:numPr>
        <w:tabs>
          <w:tab w:val="left" w:pos="709" w:leader="none"/>
          <w:tab w:val="left" w:pos="1276" w:leader="none"/>
          <w:tab w:val="left" w:pos="1418" w:leader="none"/>
          <w:tab w:val="left" w:pos="1560" w:leader="none"/>
        </w:tabs>
        <w:spacing w:lineRule="auto" w:line="276" w:before="120" w:after="120"/>
        <w:ind w:left="0" w:firstLine="1"/>
        <w:jc w:val="both"/>
        <w:rPr>
          <w:rFonts w:ascii="Arial" w:hAnsi="Arial" w:cs="Arial"/>
          <w:color w:val="000000"/>
          <w:sz w:val="20"/>
          <w:szCs w:val="20"/>
          <w:lang w:eastAsia="en-US"/>
        </w:rPr>
      </w:pPr>
      <w:r>
        <w:rPr>
          <w:rFonts w:cs="Arial" w:ascii="Arial" w:hAnsi="Arial"/>
          <w:color w:val="000000"/>
          <w:sz w:val="20"/>
          <w:szCs w:val="20"/>
          <w:lang w:eastAsia="en-US"/>
        </w:rPr>
        <w:t>Da sessão pública do Pregão divulgar-se-á Ata no sistema eletrônico.</w:t>
      </w:r>
    </w:p>
    <w:p>
      <w:pPr>
        <w:pStyle w:val="Nivel01"/>
        <w:keepLines w:val="false"/>
        <w:numPr>
          <w:ilvl w:val="1"/>
          <w:numId w:val="1"/>
        </w:numPr>
        <w:tabs>
          <w:tab w:val="left" w:pos="567" w:leader="none"/>
          <w:tab w:val="left" w:pos="709" w:leader="none"/>
          <w:tab w:val="left" w:pos="851" w:leader="none"/>
          <w:tab w:val="left" w:pos="1276"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A sessão pública poderá ser reaberta:</w:t>
      </w:r>
    </w:p>
    <w:p>
      <w:pPr>
        <w:pStyle w:val="Nivel01"/>
        <w:keepLines w:val="false"/>
        <w:numPr>
          <w:ilvl w:val="2"/>
          <w:numId w:val="1"/>
        </w:numPr>
        <w:tabs>
          <w:tab w:val="left" w:pos="567" w:leader="none"/>
          <w:tab w:val="left" w:pos="709"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keepLines w:val="false"/>
        <w:numPr>
          <w:ilvl w:val="2"/>
          <w:numId w:val="1"/>
        </w:numPr>
        <w:tabs>
          <w:tab w:val="left" w:pos="567" w:leader="none"/>
          <w:tab w:val="left" w:pos="709"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Nivel01"/>
        <w:keepLines w:val="false"/>
        <w:numPr>
          <w:ilvl w:val="1"/>
          <w:numId w:val="1"/>
        </w:numPr>
        <w:tabs>
          <w:tab w:val="left" w:pos="567" w:leader="none"/>
          <w:tab w:val="left" w:pos="709" w:leader="none"/>
          <w:tab w:val="left" w:pos="851"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Todos os licitantes remanescentes deverão ser convocados para acompanhar a sessão reaberta.</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A convocação se dará por meio do sistema eletrônico (“</w:t>
      </w:r>
      <w:r>
        <w:rPr>
          <w:rFonts w:eastAsia="" w:cs="Arial" w:ascii="Arial" w:hAnsi="Arial" w:eastAsiaTheme="minorEastAsia"/>
          <w:b w:val="false"/>
          <w:bCs w:val="false"/>
          <w:i/>
          <w:color w:val="00000A"/>
        </w:rPr>
        <w:t>chat</w:t>
      </w:r>
      <w:r>
        <w:rPr>
          <w:rFonts w:eastAsia="" w:cs="Arial" w:ascii="Arial" w:hAnsi="Arial" w:eastAsiaTheme="minorEastAsia"/>
          <w:b w:val="false"/>
          <w:bCs w:val="false"/>
          <w:color w:val="00000A"/>
        </w:rPr>
        <w:t xml:space="preserve">”), </w:t>
      </w:r>
      <w:r>
        <w:rPr>
          <w:rFonts w:eastAsia="" w:cs="Arial" w:ascii="Arial" w:hAnsi="Arial" w:eastAsiaTheme="minorEastAsia"/>
          <w:b w:val="false"/>
          <w:bCs w:val="false"/>
          <w:i/>
          <w:color w:val="00000A"/>
        </w:rPr>
        <w:t>e-mail</w:t>
      </w:r>
      <w:r>
        <w:rPr>
          <w:rFonts w:eastAsia="" w:cs="Arial" w:ascii="Arial" w:hAnsi="Arial" w:eastAsiaTheme="minorEastAsia"/>
          <w:b w:val="false"/>
          <w:bCs w:val="false"/>
          <w:color w:val="00000A"/>
        </w:rPr>
        <w:t>, de acordo com a fase do procedimento licitatório.</w:t>
      </w:r>
    </w:p>
    <w:p>
      <w:pPr>
        <w:pStyle w:val="Normal"/>
        <w:rPr>
          <w:rFonts w:eastAsia="" w:eastAsiaTheme="minorEastAsia"/>
        </w:rPr>
      </w:pPr>
      <w:r>
        <w:rPr>
          <w:rFonts w:eastAsia="" w:eastAsiaTheme="minorEastAsia"/>
        </w:rPr>
      </w:r>
    </w:p>
    <w:p>
      <w:pPr>
        <w:pStyle w:val="ListParagraph"/>
        <w:numPr>
          <w:ilvl w:val="0"/>
          <w:numId w:val="1"/>
        </w:numPr>
        <w:tabs>
          <w:tab w:val="left" w:pos="709" w:leader="none"/>
        </w:tabs>
        <w:spacing w:lineRule="auto" w:line="276" w:before="120" w:after="120"/>
        <w:ind w:left="0" w:firstLine="1"/>
        <w:contextualSpacing/>
        <w:jc w:val="both"/>
        <w:rPr>
          <w:rFonts w:ascii="Arial" w:hAnsi="Arial" w:cs="Arial"/>
          <w:b/>
          <w:b/>
          <w:sz w:val="20"/>
          <w:szCs w:val="20"/>
          <w:lang w:eastAsia="en-US"/>
        </w:rPr>
      </w:pPr>
      <w:r>
        <w:rPr>
          <w:rFonts w:cs="Arial" w:ascii="Arial" w:hAnsi="Arial"/>
          <w:b/>
          <w:sz w:val="20"/>
          <w:szCs w:val="20"/>
          <w:lang w:eastAsia="en-US"/>
        </w:rPr>
        <w:t>DA REABERTURA DA SESSÃO PÚBLICA</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A sessão pública poderá ser reaberta:</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Todos os licitantes remanescentes deverão ser convocados para acompanhar a sessão reaberta.</w:t>
      </w:r>
    </w:p>
    <w:p>
      <w:pPr>
        <w:pStyle w:val="Nivel01"/>
        <w:keepLines w:val="false"/>
        <w:numPr>
          <w:ilvl w:val="2"/>
          <w:numId w:val="1"/>
        </w:numPr>
        <w:tabs>
          <w:tab w:val="left" w:pos="567" w:leader="none"/>
          <w:tab w:val="left" w:pos="709" w:leader="none"/>
          <w:tab w:val="left" w:pos="993" w:leader="none"/>
        </w:tabs>
        <w:spacing w:lineRule="auto" w:line="276" w:before="120" w:after="120"/>
        <w:ind w:left="0" w:firstLine="1"/>
        <w:rPr>
          <w:rFonts w:ascii="Arial" w:hAnsi="Arial" w:eastAsia="" w:cs="Arial" w:eastAsiaTheme="minorEastAsia"/>
          <w:b w:val="false"/>
          <w:b w:val="false"/>
          <w:bCs w:val="false"/>
          <w:color w:val="00000A"/>
        </w:rPr>
      </w:pPr>
      <w:r>
        <w:rPr>
          <w:rFonts w:eastAsia="" w:cs="Arial" w:ascii="Arial" w:hAnsi="Arial" w:eastAsiaTheme="minorEastAsia"/>
          <w:b w:val="false"/>
          <w:bCs w:val="false"/>
          <w:color w:val="00000A"/>
        </w:rPr>
        <w:t>A convocação se dará por meio do sistema eletrônico (“</w:t>
      </w:r>
      <w:r>
        <w:rPr>
          <w:rFonts w:eastAsia="" w:cs="Arial" w:ascii="Arial" w:hAnsi="Arial" w:eastAsiaTheme="minorEastAsia"/>
          <w:b w:val="false"/>
          <w:bCs w:val="false"/>
          <w:i/>
          <w:color w:val="00000A"/>
        </w:rPr>
        <w:t>chat</w:t>
      </w:r>
      <w:r>
        <w:rPr>
          <w:rFonts w:eastAsia="" w:cs="Arial" w:ascii="Arial" w:hAnsi="Arial" w:eastAsiaTheme="minorEastAsia"/>
          <w:b w:val="false"/>
          <w:bCs w:val="false"/>
          <w:color w:val="00000A"/>
        </w:rPr>
        <w:t>”) ou e-mailde acordo com a fase do procedimento licitatório.</w:t>
      </w:r>
    </w:p>
    <w:p>
      <w:pPr>
        <w:pStyle w:val="ListParagraph"/>
        <w:tabs>
          <w:tab w:val="left" w:pos="709" w:leader="none"/>
        </w:tabs>
        <w:spacing w:lineRule="auto" w:line="276" w:before="120" w:after="120"/>
        <w:ind w:left="0" w:firstLine="1"/>
        <w:contextualSpacing/>
        <w:jc w:val="both"/>
        <w:rPr>
          <w:rFonts w:ascii="Arial" w:hAnsi="Arial" w:cs="Arial"/>
          <w:color w:val="000000"/>
          <w:sz w:val="20"/>
          <w:szCs w:val="20"/>
          <w:lang w:eastAsia="en-US"/>
        </w:rPr>
      </w:pPr>
      <w:r>
        <w:rPr>
          <w:rFonts w:cs="Arial" w:ascii="Arial" w:hAnsi="Arial"/>
          <w:color w:val="000000"/>
          <w:sz w:val="20"/>
          <w:szCs w:val="20"/>
          <w:lang w:eastAsia="en-US"/>
        </w:rPr>
      </w:r>
    </w:p>
    <w:p>
      <w:pPr>
        <w:pStyle w:val="ListParagraph"/>
        <w:tabs>
          <w:tab w:val="left" w:pos="709" w:leader="none"/>
        </w:tabs>
        <w:spacing w:lineRule="auto" w:line="276" w:before="120" w:after="120"/>
        <w:ind w:left="0" w:firstLine="1"/>
        <w:contextualSpacing/>
        <w:jc w:val="both"/>
        <w:rPr>
          <w:rFonts w:ascii="Arial" w:hAnsi="Arial" w:cs="Arial"/>
          <w:color w:val="000000"/>
          <w:sz w:val="20"/>
          <w:szCs w:val="20"/>
          <w:lang w:eastAsia="en-US"/>
        </w:rPr>
      </w:pPr>
      <w:r>
        <w:rPr>
          <w:rFonts w:cs="Arial" w:ascii="Arial" w:hAnsi="Arial"/>
          <w:color w:val="000000"/>
          <w:sz w:val="20"/>
          <w:szCs w:val="20"/>
          <w:lang w:eastAsia="en-US"/>
        </w:rPr>
      </w:r>
    </w:p>
    <w:p>
      <w:pPr>
        <w:pStyle w:val="ListParagraph"/>
        <w:numPr>
          <w:ilvl w:val="0"/>
          <w:numId w:val="1"/>
        </w:numPr>
        <w:tabs>
          <w:tab w:val="left" w:pos="709" w:leader="none"/>
        </w:tabs>
        <w:spacing w:lineRule="auto" w:line="276" w:before="120" w:after="120"/>
        <w:ind w:left="0" w:firstLine="1"/>
        <w:contextualSpacing/>
        <w:jc w:val="both"/>
        <w:rPr>
          <w:rFonts w:ascii="Arial" w:hAnsi="Arial" w:cs="Arial"/>
          <w:sz w:val="20"/>
          <w:szCs w:val="20"/>
          <w:lang w:eastAsia="en-US"/>
        </w:rPr>
      </w:pPr>
      <w:r>
        <w:rPr>
          <w:rFonts w:cs="Arial" w:ascii="Arial" w:hAnsi="Arial"/>
          <w:b/>
          <w:sz w:val="20"/>
          <w:szCs w:val="20"/>
          <w:lang w:eastAsia="en-US"/>
        </w:rPr>
        <w:t>DO ENCAMINHAMENTO DA PROPOSTA VENCEDORA</w:t>
      </w:r>
    </w:p>
    <w:p>
      <w:pPr>
        <w:pStyle w:val="Normal"/>
        <w:numPr>
          <w:ilvl w:val="1"/>
          <w:numId w:val="1"/>
        </w:numPr>
        <w:tabs>
          <w:tab w:val="left" w:pos="709" w:leader="none"/>
          <w:tab w:val="left" w:pos="993" w:leader="none"/>
          <w:tab w:val="left" w:pos="1276" w:leader="none"/>
        </w:tabs>
        <w:spacing w:lineRule="auto" w:line="276" w:before="120" w:after="120"/>
        <w:ind w:left="0" w:firstLine="1"/>
        <w:jc w:val="both"/>
        <w:rPr>
          <w:rFonts w:ascii="Arial" w:hAnsi="Arial" w:cs="Arial"/>
          <w:sz w:val="20"/>
          <w:szCs w:val="20"/>
        </w:rPr>
      </w:pPr>
      <w:r>
        <w:rPr>
          <w:rFonts w:cs="Arial" w:ascii="Arial" w:hAnsi="Arial"/>
          <w:sz w:val="20"/>
          <w:szCs w:val="20"/>
        </w:rPr>
        <w:t xml:space="preserve">A proposta final do licitante declarado vencedor deverá ser encaminhada no prazo de </w:t>
      </w:r>
      <w:r>
        <w:rPr>
          <w:rFonts w:cs="Arial" w:ascii="Arial" w:hAnsi="Arial"/>
          <w:b/>
          <w:bCs/>
          <w:sz w:val="20"/>
          <w:szCs w:val="20"/>
        </w:rPr>
        <w:t>2 (duas) horas</w:t>
      </w:r>
      <w:r>
        <w:rPr>
          <w:rFonts w:cs="Arial" w:ascii="Arial" w:hAnsi="Arial"/>
          <w:sz w:val="20"/>
          <w:szCs w:val="20"/>
        </w:rPr>
        <w:t>, a contar da solicitação do Pregoeiro no sistema eletrônico e deverá:</w:t>
      </w:r>
    </w:p>
    <w:p>
      <w:pPr>
        <w:pStyle w:val="Normal"/>
        <w:numPr>
          <w:ilvl w:val="2"/>
          <w:numId w:val="1"/>
        </w:numPr>
        <w:tabs>
          <w:tab w:val="left" w:pos="709" w:leader="none"/>
          <w:tab w:val="left" w:pos="851" w:leader="none"/>
        </w:tabs>
        <w:spacing w:lineRule="auto" w:line="276" w:before="120" w:after="120"/>
        <w:ind w:left="0" w:firstLine="1"/>
        <w:jc w:val="both"/>
        <w:rPr>
          <w:rFonts w:ascii="Arial" w:hAnsi="Arial" w:cs="Arial"/>
          <w:sz w:val="20"/>
          <w:szCs w:val="20"/>
        </w:rPr>
      </w:pPr>
      <w:r>
        <w:rPr>
          <w:rFonts w:cs="Arial" w:ascii="Arial" w:hAnsi="Arial"/>
          <w:sz w:val="20"/>
          <w:szCs w:val="20"/>
        </w:rPr>
        <w:t>ser redigida em língua portuguesa, datilografada ou digitada, em uma via, sem emendas, rasuras, entrelinhas ou ressalvas, devendo a última folha ser assinada e as demais rubricadas pelo licitante ou seu representante legal.</w:t>
      </w:r>
    </w:p>
    <w:p>
      <w:pPr>
        <w:pStyle w:val="Normal"/>
        <w:numPr>
          <w:ilvl w:val="2"/>
          <w:numId w:val="1"/>
        </w:numPr>
        <w:tabs>
          <w:tab w:val="left" w:pos="709" w:leader="none"/>
          <w:tab w:val="left" w:pos="851" w:leader="none"/>
          <w:tab w:val="left" w:pos="993" w:leader="none"/>
        </w:tabs>
        <w:spacing w:lineRule="auto" w:line="276" w:before="120" w:after="120"/>
        <w:ind w:left="0" w:firstLine="1"/>
        <w:jc w:val="both"/>
        <w:rPr>
          <w:rFonts w:ascii="Arial" w:hAnsi="Arial" w:cs="Arial"/>
          <w:sz w:val="20"/>
          <w:szCs w:val="20"/>
        </w:rPr>
      </w:pPr>
      <w:r>
        <w:rPr>
          <w:rFonts w:cs="Arial" w:ascii="Arial" w:hAnsi="Arial"/>
          <w:sz w:val="20"/>
          <w:szCs w:val="20"/>
        </w:rPr>
        <w:t>conter a indicação do banco, número da conta e agência do licitante vencedor, para fins de pagamento.</w:t>
      </w:r>
    </w:p>
    <w:p>
      <w:pPr>
        <w:pStyle w:val="Normal"/>
        <w:numPr>
          <w:ilvl w:val="1"/>
          <w:numId w:val="1"/>
        </w:numPr>
        <w:tabs>
          <w:tab w:val="left" w:pos="709" w:leader="none"/>
        </w:tabs>
        <w:spacing w:lineRule="auto" w:line="276" w:before="120" w:after="120"/>
        <w:ind w:left="0" w:firstLine="1"/>
        <w:jc w:val="both"/>
        <w:rPr>
          <w:rFonts w:ascii="Arial" w:hAnsi="Arial" w:cs="Arial"/>
          <w:sz w:val="20"/>
          <w:szCs w:val="20"/>
        </w:rPr>
      </w:pPr>
      <w:r>
        <w:rPr>
          <w:rFonts w:cs="Arial" w:ascii="Arial" w:hAnsi="Arial"/>
          <w:sz w:val="20"/>
          <w:szCs w:val="20"/>
        </w:rPr>
        <w:t>A proposta final deverá ser documentada nos autos e será levada em consideração no decorrer da execução do contrato e aplicação de eventual sanção à Contratada, se for o caso.</w:t>
      </w:r>
    </w:p>
    <w:p>
      <w:pPr>
        <w:pStyle w:val="Normal"/>
        <w:numPr>
          <w:ilvl w:val="2"/>
          <w:numId w:val="1"/>
        </w:numPr>
        <w:tabs>
          <w:tab w:val="left" w:pos="142" w:leader="none"/>
          <w:tab w:val="left" w:pos="284" w:leader="none"/>
        </w:tabs>
        <w:spacing w:lineRule="auto" w:line="276" w:before="120" w:after="120"/>
        <w:ind w:left="0" w:hanging="0"/>
        <w:jc w:val="both"/>
        <w:rPr>
          <w:rFonts w:ascii="Arial" w:hAnsi="Arial" w:cs="Arial"/>
          <w:sz w:val="20"/>
          <w:szCs w:val="20"/>
        </w:rPr>
      </w:pPr>
      <w:r>
        <w:rPr>
          <w:rFonts w:cs="Arial" w:ascii="Arial" w:hAnsi="Arial"/>
          <w:sz w:val="20"/>
          <w:szCs w:val="20"/>
        </w:rPr>
        <w:t>Todas as especificações do objeto contidas na proposta, tais como marca, modelo, tipo, fabricante e procedência, vinculam a Contratada.</w:t>
      </w:r>
    </w:p>
    <w:p>
      <w:pPr>
        <w:pStyle w:val="Normal"/>
        <w:spacing w:lineRule="auto" w:line="276" w:before="120" w:after="120"/>
        <w:jc w:val="both"/>
        <w:rPr>
          <w:rFonts w:ascii="Arial" w:hAnsi="Arial" w:cs="Arial"/>
          <w:b/>
          <w:b/>
          <w:color w:val="000000"/>
          <w:sz w:val="20"/>
          <w:szCs w:val="20"/>
          <w:lang w:eastAsia="en-US"/>
        </w:rPr>
      </w:pPr>
      <w:r>
        <w:rPr>
          <w:rFonts w:cs="Arial" w:ascii="Arial" w:hAnsi="Arial"/>
          <w:b/>
          <w:color w:val="000000"/>
          <w:sz w:val="20"/>
          <w:szCs w:val="20"/>
          <w:lang w:eastAsia="en-US"/>
        </w:rPr>
      </w:r>
    </w:p>
    <w:p>
      <w:pPr>
        <w:pStyle w:val="Normal"/>
        <w:numPr>
          <w:ilvl w:val="0"/>
          <w:numId w:val="1"/>
        </w:numPr>
        <w:spacing w:lineRule="auto" w:line="276" w:before="120" w:after="120"/>
        <w:ind w:left="0" w:hanging="0"/>
        <w:jc w:val="both"/>
        <w:rPr>
          <w:rFonts w:ascii="Arial" w:hAnsi="Arial" w:cs="Arial"/>
          <w:b/>
          <w:b/>
          <w:color w:val="000000"/>
          <w:sz w:val="20"/>
          <w:szCs w:val="20"/>
          <w:lang w:eastAsia="en-US"/>
        </w:rPr>
      </w:pPr>
      <w:r>
        <w:rPr>
          <w:rFonts w:cs="Arial" w:ascii="Arial" w:hAnsi="Arial"/>
          <w:b/>
          <w:color w:val="000000"/>
          <w:sz w:val="20"/>
          <w:szCs w:val="20"/>
          <w:lang w:eastAsia="en-US"/>
        </w:rPr>
        <w:t>DOS RECURSOS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lang w:eastAsia="en-US"/>
        </w:rPr>
        <w:t>Declarado o vencedor e decorr</w:t>
      </w:r>
      <w:r>
        <w:rPr>
          <w:rFonts w:cs="Arial" w:ascii="Arial" w:hAnsi="Arial"/>
          <w:color w:val="000000"/>
          <w:sz w:val="20"/>
          <w:szCs w:val="20"/>
        </w:rPr>
        <w:t xml:space="preserve">ida a </w:t>
      </w:r>
      <w:r>
        <w:rPr>
          <w:rFonts w:cs="Arial" w:ascii="Arial" w:hAnsi="Arial"/>
          <w:color w:val="000000"/>
          <w:sz w:val="20"/>
          <w:szCs w:val="20"/>
          <w:lang w:eastAsia="en-US"/>
        </w:rPr>
        <w:t xml:space="preserve">fase de regularização fiscal da licitante qualificada como microempresa ou empresa de pequeno porte, se for o caso, será concedido o </w:t>
      </w:r>
      <w:r>
        <w:rPr>
          <w:rFonts w:cs="Arial" w:ascii="Arial" w:hAnsi="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Havendo quem se manifeste, caberá ao Pregoeiro verificar a tempestividade e a existência de motivação da intenção de recorrer, para decidir se admite ou não o recurso, fundamentadamente.</w:t>
      </w:r>
    </w:p>
    <w:p>
      <w:pPr>
        <w:pStyle w:val="Normal"/>
        <w:numPr>
          <w:ilvl w:val="2"/>
          <w:numId w:val="1"/>
        </w:numPr>
        <w:tabs>
          <w:tab w:val="left" w:pos="284" w:leader="none"/>
          <w:tab w:val="left" w:pos="709" w:leader="none"/>
        </w:tabs>
        <w:snapToGrid w:val="false"/>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Nesse momento o Pregoeiro não adentrará no mérito recursal, mas apenas verificará as condições de admissibilidade do recurso.</w:t>
      </w:r>
    </w:p>
    <w:p>
      <w:pPr>
        <w:pStyle w:val="Normal"/>
        <w:numPr>
          <w:ilvl w:val="2"/>
          <w:numId w:val="1"/>
        </w:numPr>
        <w:tabs>
          <w:tab w:val="left" w:pos="567" w:leader="none"/>
          <w:tab w:val="left" w:pos="709" w:leader="none"/>
        </w:tabs>
        <w:snapToGrid w:val="false"/>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 falta de manifestação motivada do licitante quanto à intenção de recorrer importará a decadência desse direito.</w:t>
      </w:r>
    </w:p>
    <w:p>
      <w:pPr>
        <w:pStyle w:val="Normal"/>
        <w:numPr>
          <w:ilvl w:val="2"/>
          <w:numId w:val="1"/>
        </w:numPr>
        <w:tabs>
          <w:tab w:val="left" w:pos="709" w:leader="none"/>
        </w:tabs>
        <w:snapToGrid w:val="false"/>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O acolhimento do recurso invalida tão somente os atos insuscetíveis de aproveitamento.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Os autos do processo permanecerão com vista franqueada aos interessados, no endereço constante neste Edital.</w:t>
      </w:r>
    </w:p>
    <w:p>
      <w:pPr>
        <w:pStyle w:val="Normal"/>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tabs>
          <w:tab w:val="left" w:pos="426" w:leader="none"/>
        </w:tabs>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 ADJUDICAÇÃO E HOMOLOGAÇÃO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Após a fase recursal, constatada a regularidade dos atos praticados, a autoridade competente homologará o procedimento licitatório. </w:t>
      </w:r>
    </w:p>
    <w:p>
      <w:pPr>
        <w:pStyle w:val="Normal"/>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0" w:after="120"/>
        <w:jc w:val="both"/>
        <w:rPr>
          <w:rFonts w:ascii="Arial" w:hAnsi="Arial" w:cs="Arial"/>
          <w:color w:val="000000"/>
          <w:sz w:val="20"/>
          <w:szCs w:val="20"/>
        </w:rPr>
      </w:pPr>
      <w:r>
        <w:rPr>
          <w:rFonts w:cs="Arial" w:ascii="Arial" w:hAnsi="Arial"/>
          <w:b/>
          <w:color w:val="000000"/>
          <w:sz w:val="20"/>
          <w:szCs w:val="20"/>
        </w:rPr>
        <w:t>DA ATA DE REGISTRO DE PREÇOS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Homologado o resultado da licitação, terá o adjudicatário o prazo de 5 (cinco)</w:t>
      </w:r>
      <w:r>
        <w:rPr>
          <w:rFonts w:cs="Arial" w:ascii="Arial" w:hAnsi="Arial"/>
          <w:color w:val="FF0000"/>
          <w:sz w:val="20"/>
          <w:szCs w:val="20"/>
        </w:rPr>
        <w:t xml:space="preserve"> </w:t>
      </w:r>
      <w:r>
        <w:rPr>
          <w:rFonts w:cs="Arial" w:ascii="Arial" w:hAnsi="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Alternativamente à convocação para comparecer perante o órgão ou entidade</w:t>
      </w:r>
      <w:r>
        <w:rPr>
          <w:rFonts w:cs="Arial" w:ascii="Arial" w:hAnsi="Arial"/>
          <w:i/>
          <w:color w:val="000000"/>
          <w:sz w:val="20"/>
          <w:szCs w:val="20"/>
        </w:rPr>
        <w:t xml:space="preserve"> </w:t>
      </w:r>
      <w:r>
        <w:rPr>
          <w:rFonts w:cs="Arial" w:ascii="Arial" w:hAnsi="Arial"/>
          <w:color w:val="000000"/>
          <w:sz w:val="20"/>
          <w:szCs w:val="20"/>
        </w:rPr>
        <w:t xml:space="preserve">para a assinatura da Ata de Registro de Preços, a Administração poderá encaminhá-la para assinatura, </w:t>
      </w:r>
      <w:r>
        <w:rPr>
          <w:rFonts w:cs="Arial" w:ascii="Arial" w:hAnsi="Arial"/>
          <w:bCs/>
          <w:iCs/>
          <w:color w:val="000000"/>
          <w:sz w:val="20"/>
          <w:szCs w:val="20"/>
        </w:rPr>
        <w:t>mediante correspondência postal com aviso de recebimento (AR) ou meio eletrônico, para que seja(m) assinada(s) no prazo de 5 (cinco) dias, a contar da data de seu recebimento.</w:t>
      </w:r>
    </w:p>
    <w:p>
      <w:pPr>
        <w:pStyle w:val="Normal"/>
        <w:numPr>
          <w:ilvl w:val="1"/>
          <w:numId w:val="1"/>
        </w:numPr>
        <w:spacing w:lineRule="auto" w:line="276" w:before="120" w:after="120"/>
        <w:ind w:left="0" w:hanging="0"/>
        <w:jc w:val="both"/>
        <w:rPr>
          <w:rFonts w:ascii="Arial" w:hAnsi="Arial" w:cs="Arial"/>
          <w:b/>
          <w:b/>
          <w:color w:val="000000"/>
          <w:sz w:val="20"/>
          <w:szCs w:val="20"/>
        </w:rPr>
      </w:pPr>
      <w:r>
        <w:rPr>
          <w:rFonts w:cs="Arial" w:ascii="Arial" w:hAnsi="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Normal"/>
        <w:numPr>
          <w:ilvl w:val="1"/>
          <w:numId w:val="1"/>
        </w:numPr>
        <w:spacing w:lineRule="auto" w:line="276" w:before="120" w:after="120"/>
        <w:ind w:left="0" w:hanging="0"/>
        <w:jc w:val="both"/>
        <w:rPr>
          <w:rFonts w:ascii="Arial" w:hAnsi="Arial" w:cs="Arial"/>
          <w:b/>
          <w:b/>
          <w:color w:val="000000"/>
          <w:sz w:val="20"/>
          <w:szCs w:val="20"/>
        </w:rPr>
      </w:pPr>
      <w:r>
        <w:rPr>
          <w:rFonts w:cs="Arial" w:ascii="Arial" w:hAnsi="Arial"/>
          <w:color w:val="000000"/>
          <w:sz w:val="2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Normal"/>
        <w:tabs>
          <w:tab w:val="left" w:pos="709" w:leader="none"/>
        </w:tabs>
        <w:spacing w:lineRule="auto" w:line="276" w:before="120" w:after="12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120" w:after="120"/>
        <w:ind w:left="0" w:hanging="0"/>
        <w:jc w:val="both"/>
        <w:rPr>
          <w:rFonts w:ascii="Arial" w:hAnsi="Arial" w:cs="Arial"/>
          <w:color w:val="000000"/>
          <w:sz w:val="20"/>
          <w:szCs w:val="20"/>
        </w:rPr>
      </w:pPr>
      <w:r>
        <w:rPr>
          <w:rFonts w:cs="Arial" w:ascii="Arial" w:hAnsi="Arial"/>
          <w:b/>
          <w:color w:val="000000"/>
          <w:sz w:val="20"/>
          <w:szCs w:val="20"/>
        </w:rPr>
        <w:t>DO TERMO DE CONTRATO OU INSTRUMENTO EQUIVALENTE</w:t>
      </w:r>
    </w:p>
    <w:p>
      <w:pPr>
        <w:pStyle w:val="ListParagraph"/>
        <w:numPr>
          <w:ilvl w:val="1"/>
          <w:numId w:val="1"/>
        </w:numPr>
        <w:spacing w:lineRule="auto" w:line="276" w:before="120" w:after="120"/>
        <w:ind w:left="0" w:hanging="0"/>
        <w:contextualSpacing/>
        <w:jc w:val="both"/>
        <w:rPr>
          <w:rFonts w:ascii="Arial" w:hAnsi="Arial" w:cs="Arial"/>
          <w:color w:val="000000"/>
          <w:sz w:val="20"/>
          <w:szCs w:val="20"/>
        </w:rPr>
      </w:pPr>
      <w:r>
        <w:rPr>
          <w:rFonts w:cs="Arial" w:ascii="Arial" w:hAnsi="Arial"/>
          <w:color w:val="000000"/>
          <w:sz w:val="20"/>
          <w:szCs w:val="20"/>
        </w:rPr>
        <w:t xml:space="preserve">Dentro da validade da Ata de Registro de Preços, o fornecedor registrado poderá ser convocado para assinar o Termo de Contrato ou aceitar/retirar o instrumento equivalente (Nota de Empenho/Carta Contrato/Autorização). </w:t>
      </w:r>
    </w:p>
    <w:p>
      <w:pPr>
        <w:pStyle w:val="ListParagraph"/>
        <w:numPr>
          <w:ilvl w:val="2"/>
          <w:numId w:val="1"/>
        </w:numPr>
        <w:tabs>
          <w:tab w:val="left" w:pos="426" w:leader="none"/>
          <w:tab w:val="left" w:pos="709" w:leader="none"/>
        </w:tabs>
        <w:spacing w:lineRule="auto" w:line="276" w:before="120" w:after="120"/>
        <w:ind w:left="0" w:hanging="0"/>
        <w:contextualSpacing/>
        <w:jc w:val="both"/>
        <w:rPr>
          <w:rFonts w:ascii="Arial" w:hAnsi="Arial" w:cs="Arial"/>
          <w:color w:val="000000"/>
          <w:sz w:val="20"/>
          <w:szCs w:val="20"/>
        </w:rPr>
      </w:pPr>
      <w:r>
        <w:rPr>
          <w:rFonts w:cs="Arial" w:ascii="Arial" w:hAnsi="Arial"/>
          <w:color w:val="000000"/>
          <w:sz w:val="20"/>
          <w:szCs w:val="20"/>
        </w:rPr>
        <w:t>Para os itens nº 1 à 20, 29, 30, 31, 32, 34, 35, 37, 38, 39, 40, 41, 42, 44 e 52, os cilindros serão fornecidos em regime de COMODATO, de acordo com o Modelo do Termo de Comodato constante no Termo de Referência.</w:t>
      </w:r>
    </w:p>
    <w:p>
      <w:pPr>
        <w:pStyle w:val="ListParagraph"/>
        <w:numPr>
          <w:ilvl w:val="2"/>
          <w:numId w:val="1"/>
        </w:numPr>
        <w:tabs>
          <w:tab w:val="left" w:pos="426" w:leader="none"/>
          <w:tab w:val="left" w:pos="709" w:leader="none"/>
        </w:tabs>
        <w:spacing w:lineRule="auto" w:line="276" w:before="120" w:after="120"/>
        <w:ind w:left="0" w:hanging="0"/>
        <w:contextualSpacing/>
        <w:jc w:val="both"/>
        <w:rPr>
          <w:rFonts w:ascii="Arial" w:hAnsi="Arial" w:cs="Arial"/>
          <w:color w:val="000000"/>
          <w:sz w:val="20"/>
          <w:szCs w:val="20"/>
        </w:rPr>
      </w:pPr>
      <w:r>
        <w:rPr>
          <w:rFonts w:cs="Arial" w:ascii="Arial" w:hAnsi="Arial"/>
          <w:color w:val="000000"/>
          <w:sz w:val="20"/>
          <w:szCs w:val="20"/>
        </w:rPr>
        <w:t>O Termo de Comodato terá prazo de vigência de 12 meses ou enquanto o cilíndro dispor da carga do gás envazada.</w:t>
      </w:r>
    </w:p>
    <w:p>
      <w:pPr>
        <w:pStyle w:val="ListParagraph"/>
        <w:numPr>
          <w:ilvl w:val="1"/>
          <w:numId w:val="1"/>
        </w:numPr>
        <w:spacing w:lineRule="auto" w:line="276" w:before="120" w:after="120"/>
        <w:ind w:left="0" w:hanging="0"/>
        <w:contextualSpacing/>
        <w:jc w:val="both"/>
        <w:rPr>
          <w:rFonts w:ascii="Arial" w:hAnsi="Arial" w:cs="Arial"/>
          <w:color w:val="000000"/>
          <w:sz w:val="20"/>
          <w:szCs w:val="20"/>
        </w:rPr>
      </w:pPr>
      <w:r>
        <w:rPr>
          <w:rFonts w:cs="Arial" w:ascii="Arial" w:hAnsi="Arial"/>
          <w:color w:val="000000"/>
          <w:sz w:val="20"/>
          <w:szCs w:val="20"/>
        </w:rPr>
        <w:t>Previamente à contratação, a Administração promotora da licitação realizará consulta ao SICAF para identificar eventual proibição da licitante adjudicatária de contratar com o Poder Público.</w:t>
      </w:r>
    </w:p>
    <w:p>
      <w:pPr>
        <w:pStyle w:val="Normal"/>
        <w:numPr>
          <w:ilvl w:val="2"/>
          <w:numId w:val="1"/>
        </w:numPr>
        <w:tabs>
          <w:tab w:val="left" w:pos="426" w:leader="none"/>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 adjudicatária terá o prazo de 5 (cinco) dias úteis, contados a partir da data de sua convocação, para assinar o Termo de Contrato ou aceitar o instrumento equivalente, conforme o caso, sob pena de decair do direito à contratação, sem prejuízo das sanções previstas neste Edital.</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Alternativamente à convocação para comparecer perante o órgão ou entidade</w:t>
      </w:r>
      <w:r>
        <w:rPr>
          <w:rFonts w:cs="Arial" w:ascii="Arial" w:hAnsi="Arial"/>
          <w:i/>
          <w:color w:val="000000"/>
          <w:sz w:val="20"/>
          <w:szCs w:val="20"/>
        </w:rPr>
        <w:t xml:space="preserve"> </w:t>
      </w:r>
      <w:r>
        <w:rPr>
          <w:rFonts w:cs="Arial" w:ascii="Arial" w:hAnsi="Arial"/>
          <w:color w:val="000000"/>
          <w:sz w:val="20"/>
          <w:szCs w:val="20"/>
        </w:rPr>
        <w:t>para a assinatura do Termo de Contrato ou aceite/retirada do instrumento equivalente, a Administração poderá encaminhá-lo para assinatura ou aceite da Adjudicatária,</w:t>
      </w:r>
      <w:r>
        <w:rPr>
          <w:rFonts w:cs="Arial" w:ascii="Arial" w:hAnsi="Arial"/>
          <w:bCs/>
          <w:iCs/>
          <w:color w:val="000000"/>
          <w:sz w:val="20"/>
          <w:szCs w:val="20"/>
        </w:rPr>
        <w:t xml:space="preserve"> mediante correspondência postal com aviso de recebimento (AR) ou meio eletrônico, para que seja assinado/retirado no prazo de</w:t>
      </w:r>
      <w:r>
        <w:rPr>
          <w:rFonts w:cs="Arial" w:ascii="Arial" w:hAnsi="Arial"/>
          <w:bCs/>
          <w:iCs/>
          <w:color w:val="FF0000"/>
          <w:sz w:val="20"/>
          <w:szCs w:val="20"/>
        </w:rPr>
        <w:t xml:space="preserve"> </w:t>
      </w:r>
      <w:r>
        <w:rPr>
          <w:rFonts w:cs="Arial" w:ascii="Arial" w:hAnsi="Arial"/>
          <w:bCs/>
          <w:iCs/>
          <w:color w:val="000000"/>
          <w:sz w:val="20"/>
          <w:szCs w:val="20"/>
        </w:rPr>
        <w:t>5 (cinco)  dias, a contar da data de seu recebimento</w:t>
      </w:r>
      <w:r>
        <w:rPr>
          <w:rFonts w:cs="Arial" w:ascii="Arial" w:hAnsi="Arial"/>
          <w:bCs/>
          <w:i/>
          <w:iCs/>
          <w:color w:val="000000"/>
          <w:sz w:val="20"/>
          <w:szCs w:val="20"/>
        </w:rPr>
        <w:t xml:space="preserve">.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prazo previsto no subitem anterior poderá ser prorrogado, por igual período, por solicitação justificada do fornecedor registrado e aceita pela Administração.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pPr>
        <w:pStyle w:val="Normal"/>
        <w:tabs>
          <w:tab w:val="left" w:pos="709" w:leader="none"/>
        </w:tabs>
        <w:spacing w:lineRule="auto" w:line="276" w:before="120" w:after="120"/>
        <w:jc w:val="both"/>
        <w:rPr>
          <w:rFonts w:ascii="Arial" w:hAnsi="Arial" w:cs="Arial"/>
          <w:color w:val="000000"/>
          <w:sz w:val="20"/>
          <w:szCs w:val="20"/>
        </w:rPr>
      </w:pPr>
      <w:r>
        <w:rPr>
          <w:rFonts w:cs="Arial" w:ascii="Arial" w:hAnsi="Arial"/>
          <w:color w:val="000000"/>
          <w:sz w:val="20"/>
          <w:szCs w:val="20"/>
        </w:rPr>
      </w:r>
    </w:p>
    <w:p>
      <w:pPr>
        <w:pStyle w:val="Normal"/>
        <w:tabs>
          <w:tab w:val="left" w:pos="709" w:leader="none"/>
        </w:tabs>
        <w:spacing w:lineRule="auto" w:line="276" w:before="120" w:after="12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DO PREÇO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Os preços são fixos e irreajustáveis.</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contratações decorrentes da Ata de Registro de Preços poderão sofrer alterações, obedecidas às disposições contidas no art. 65 da Lei n° 8.666/93 e no Decreto nº 7.892, de 2013.</w:t>
      </w:r>
    </w:p>
    <w:p>
      <w:pPr>
        <w:pStyle w:val="Normal"/>
        <w:spacing w:lineRule="auto" w:line="276" w:before="0" w:after="120"/>
        <w:ind w:left="567"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 ENTREGA E DO RECEBIMENTO DO OBJETO E DA FISCALIZAÇÃO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lang w:eastAsia="en-US"/>
        </w:rPr>
        <w:t xml:space="preserve"> </w:t>
      </w:r>
      <w:r>
        <w:rPr>
          <w:rFonts w:cs="Arial" w:ascii="Arial" w:hAnsi="Arial"/>
          <w:color w:val="000000"/>
          <w:sz w:val="20"/>
          <w:szCs w:val="20"/>
        </w:rPr>
        <w:t>Os</w:t>
      </w:r>
      <w:r>
        <w:rPr>
          <w:rFonts w:cs="Arial" w:ascii="Arial" w:hAnsi="Arial"/>
          <w:color w:val="000000"/>
          <w:sz w:val="20"/>
          <w:szCs w:val="20"/>
          <w:lang w:eastAsia="en-US"/>
        </w:rPr>
        <w:t xml:space="preserve"> critérios de recebimento e aceitação do objeto e de fiscalização estão previstos no Termo de Referência.</w:t>
      </w:r>
    </w:p>
    <w:p>
      <w:pPr>
        <w:pStyle w:val="Normal"/>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120" w:after="120"/>
        <w:ind w:left="0" w:hanging="0"/>
        <w:jc w:val="both"/>
        <w:rPr>
          <w:rFonts w:ascii="Arial" w:hAnsi="Arial" w:cs="Arial"/>
          <w:color w:val="000000"/>
          <w:sz w:val="20"/>
          <w:szCs w:val="20"/>
        </w:rPr>
      </w:pPr>
      <w:r>
        <w:rPr>
          <w:rFonts w:cs="Arial" w:ascii="Arial" w:hAnsi="Arial"/>
          <w:b/>
          <w:color w:val="000000"/>
          <w:sz w:val="20"/>
          <w:szCs w:val="20"/>
          <w:lang w:eastAsia="en-US"/>
        </w:rPr>
        <w:t>DAS OBRIGAÇÕES DA CONTRATANTE E DA CONTRATADA</w:t>
      </w:r>
    </w:p>
    <w:p>
      <w:pPr>
        <w:pStyle w:val="Normal"/>
        <w:numPr>
          <w:ilvl w:val="2"/>
          <w:numId w:val="1"/>
        </w:numPr>
        <w:tabs>
          <w:tab w:val="left" w:pos="709" w:leader="none"/>
        </w:tabs>
        <w:spacing w:lineRule="auto" w:line="276" w:before="120" w:after="120"/>
        <w:ind w:left="0" w:hanging="0"/>
        <w:jc w:val="both"/>
        <w:rPr>
          <w:rFonts w:ascii="Arial" w:hAnsi="Arial" w:cs="Arial"/>
          <w:b/>
          <w:b/>
          <w:color w:val="000000"/>
          <w:sz w:val="20"/>
          <w:szCs w:val="20"/>
        </w:rPr>
      </w:pPr>
      <w:r>
        <w:rPr>
          <w:rFonts w:cs="Arial" w:ascii="Arial" w:hAnsi="Arial"/>
          <w:color w:val="000000"/>
          <w:sz w:val="20"/>
          <w:szCs w:val="20"/>
          <w:lang w:eastAsia="en-US"/>
        </w:rPr>
        <w:t xml:space="preserve"> </w:t>
      </w:r>
      <w:r>
        <w:rPr>
          <w:rFonts w:cs="Arial" w:ascii="Arial" w:hAnsi="Arial"/>
          <w:color w:val="000000"/>
          <w:sz w:val="20"/>
          <w:szCs w:val="20"/>
          <w:lang w:eastAsia="en-US"/>
        </w:rPr>
        <w:t xml:space="preserve">As obrigações da </w:t>
      </w:r>
      <w:r>
        <w:rPr>
          <w:rFonts w:cs="Arial" w:ascii="Arial" w:hAnsi="Arial"/>
          <w:color w:val="000000"/>
          <w:sz w:val="20"/>
          <w:szCs w:val="20"/>
        </w:rPr>
        <w:t>Contratante</w:t>
      </w:r>
      <w:r>
        <w:rPr>
          <w:rFonts w:cs="Arial" w:ascii="Arial" w:hAnsi="Arial"/>
          <w:color w:val="000000"/>
          <w:sz w:val="20"/>
          <w:szCs w:val="20"/>
          <w:lang w:eastAsia="en-US"/>
        </w:rPr>
        <w:t xml:space="preserve"> e da Contratada são as estabelecidas no Termo de Referência.</w:t>
      </w:r>
      <w:r>
        <w:rPr>
          <w:rFonts w:cs="Arial" w:ascii="Arial" w:hAnsi="Arial"/>
          <w:b/>
          <w:color w:val="000000"/>
          <w:sz w:val="20"/>
          <w:szCs w:val="20"/>
        </w:rPr>
        <w:t xml:space="preserve"> </w:t>
      </w:r>
    </w:p>
    <w:p>
      <w:pPr>
        <w:pStyle w:val="Normal"/>
        <w:spacing w:lineRule="auto" w:line="276" w:before="120" w:after="120"/>
        <w:ind w:left="425" w:hanging="0"/>
        <w:jc w:val="both"/>
        <w:rPr>
          <w:rFonts w:ascii="Arial" w:hAnsi="Arial" w:cs="Arial"/>
          <w:b/>
          <w:b/>
          <w:color w:val="000000"/>
          <w:sz w:val="20"/>
          <w:szCs w:val="20"/>
        </w:rPr>
      </w:pPr>
      <w:r>
        <w:rPr>
          <w:rFonts w:cs="Arial" w:ascii="Arial" w:hAnsi="Arial"/>
          <w:b/>
          <w:color w:val="000000"/>
          <w:sz w:val="20"/>
          <w:szCs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DO PAGAMENTO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lang w:eastAsia="en-US"/>
        </w:rPr>
        <w:t xml:space="preserve"> </w:t>
      </w:r>
      <w:r>
        <w:rPr>
          <w:rFonts w:cs="Arial" w:ascii="Arial" w:hAnsi="Arial"/>
          <w:color w:val="000000"/>
          <w:sz w:val="20"/>
          <w:szCs w:val="20"/>
          <w:lang w:eastAsia="en-US"/>
        </w:rPr>
        <w:t xml:space="preserve">O </w:t>
      </w:r>
      <w:r>
        <w:rPr>
          <w:rFonts w:cs="Arial" w:ascii="Arial" w:hAnsi="Arial"/>
          <w:color w:val="000000"/>
          <w:sz w:val="20"/>
          <w:szCs w:val="20"/>
        </w:rPr>
        <w:t>pagamento</w:t>
      </w:r>
      <w:r>
        <w:rPr>
          <w:rFonts w:cs="Arial" w:ascii="Arial" w:hAnsi="Arial"/>
          <w:color w:val="000000"/>
          <w:sz w:val="20"/>
          <w:szCs w:val="20"/>
          <w:lang w:eastAsia="en-US"/>
        </w:rPr>
        <w:t xml:space="preserve"> será realizado no prazo máximo de até 30 (trinta) dias, contados a partir </w:t>
      </w:r>
      <w:r>
        <w:rPr>
          <w:rFonts w:cs="Arial" w:ascii="Arial" w:hAnsi="Arial"/>
          <w:color w:val="000000"/>
          <w:sz w:val="20"/>
          <w:szCs w:val="20"/>
        </w:rPr>
        <w:t xml:space="preserve">da data final do período de adimplemento a que se referir, </w:t>
      </w:r>
      <w:r>
        <w:rPr>
          <w:rFonts w:cs="Arial" w:ascii="Arial" w:hAnsi="Arial"/>
          <w:color w:val="000000"/>
          <w:sz w:val="20"/>
          <w:szCs w:val="20"/>
          <w:lang w:eastAsia="en-US"/>
        </w:rPr>
        <w:t>através de ordem bancária, para crédito em banco, agência e conta corrente indicados pelo contratado.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O pagamento somente será autorizado depois de efetuado o “atesto” pelo servidor competente na nota fiscal apresentada.</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Será considerada data do pagamento o dia em que constar como emitida a ordem bancária para pagamento.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 xml:space="preserve">Antes de cada pagamento à contratada, será realizada consulta ao SICAF para verificar a manutenção das condições de habilitação exigidas no edital. </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Quando do pagamento, será efetuada a retenção tributária prevista na legislação aplicável.</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Normal"/>
        <w:tabs>
          <w:tab w:val="left" w:pos="1701" w:leader="none"/>
        </w:tabs>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EM = I x N x VP, sendo:</w:t>
      </w:r>
    </w:p>
    <w:p>
      <w:pPr>
        <w:pStyle w:val="Normal"/>
        <w:tabs>
          <w:tab w:val="left" w:pos="1701" w:leader="none"/>
        </w:tabs>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EM = Encargos moratórios;</w:t>
      </w:r>
    </w:p>
    <w:p>
      <w:pPr>
        <w:pStyle w:val="Normal"/>
        <w:tabs>
          <w:tab w:val="left" w:pos="1701" w:leader="none"/>
        </w:tabs>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N = Número de dias entre a data prevista para o pagamento e a do efetivo pagamento;</w:t>
      </w:r>
    </w:p>
    <w:p>
      <w:pPr>
        <w:pStyle w:val="Normal"/>
        <w:tabs>
          <w:tab w:val="left" w:pos="1701" w:leader="none"/>
        </w:tabs>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t>VP = Valor da parcela a ser paga.</w:t>
      </w:r>
    </w:p>
    <w:p>
      <w:pPr>
        <w:pStyle w:val="Normal"/>
        <w:tabs>
          <w:tab w:val="left" w:pos="1701" w:leader="none"/>
        </w:tabs>
        <w:ind w:left="425" w:hanging="0"/>
        <w:jc w:val="both"/>
        <w:rPr>
          <w:rFonts w:ascii="Arial" w:hAnsi="Arial" w:cs="Arial"/>
          <w:color w:val="000000"/>
          <w:sz w:val="20"/>
          <w:szCs w:val="20"/>
        </w:rPr>
      </w:pPr>
      <w:r>
        <w:rPr>
          <w:rFonts w:cs="Arial" w:ascii="Arial" w:hAnsi="Arial"/>
          <w:color w:val="000000"/>
          <w:sz w:val="20"/>
          <w:szCs w:val="20"/>
        </w:rPr>
        <w:t>I = Índice de compensação financeira = 0,00016438, assim apurado:</w:t>
      </w:r>
    </w:p>
    <w:tbl>
      <w:tblPr>
        <w:tblStyle w:val="Tabelacomgrelha"/>
        <w:tblW w:w="8862" w:type="dxa"/>
        <w:jc w:val="left"/>
        <w:tblInd w:w="425" w:type="dxa"/>
        <w:tblCellMar>
          <w:top w:w="0" w:type="dxa"/>
          <w:left w:w="118" w:type="dxa"/>
          <w:bottom w:w="0" w:type="dxa"/>
          <w:right w:w="108" w:type="dxa"/>
        </w:tblCellMar>
        <w:tblLook w:firstRow="1" w:noVBand="1" w:lastRow="0" w:firstColumn="1" w:lastColumn="0" w:noHBand="0" w:val="04a0"/>
      </w:tblPr>
      <w:tblGrid>
        <w:gridCol w:w="2211"/>
        <w:gridCol w:w="446"/>
        <w:gridCol w:w="1276"/>
        <w:gridCol w:w="4928"/>
      </w:tblGrid>
      <w:tr>
        <w:trPr/>
        <w:tc>
          <w:tcPr>
            <w:tcW w:w="2211" w:type="dxa"/>
            <w:vMerge w:val="restart"/>
            <w:tcBorders>
              <w:top w:val="nil"/>
              <w:left w:val="nil"/>
              <w:bottom w:val="nil"/>
              <w:right w:val="nil"/>
              <w:insideH w:val="nil"/>
              <w:insideV w:val="nil"/>
            </w:tcBorders>
            <w:shd w:color="auto" w:fill="auto" w:val="clear"/>
            <w:vAlign w:val="center"/>
          </w:tcPr>
          <w:p>
            <w:pPr>
              <w:pStyle w:val="Normal"/>
              <w:tabs>
                <w:tab w:val="left" w:pos="1701" w:leader="none"/>
              </w:tabs>
              <w:jc w:val="center"/>
              <w:rPr>
                <w:rFonts w:ascii="Arial" w:hAnsi="Arial" w:cs="Arial"/>
                <w:color w:val="000000"/>
                <w:sz w:val="20"/>
                <w:szCs w:val="20"/>
              </w:rPr>
            </w:pPr>
            <w:r>
              <w:rPr>
                <w:rFonts w:eastAsia="MS Mincho" w:cs="Arial" w:ascii="Arial" w:hAnsi="Arial"/>
                <w:color w:val="000000"/>
                <w:sz w:val="20"/>
                <w:szCs w:val="20"/>
                <w:lang w:eastAsia="en-US"/>
              </w:rPr>
              <w:t>I = (TX)</w:t>
            </w:r>
          </w:p>
        </w:tc>
        <w:tc>
          <w:tcPr>
            <w:tcW w:w="446" w:type="dxa"/>
            <w:vMerge w:val="restart"/>
            <w:tcBorders>
              <w:top w:val="nil"/>
              <w:left w:val="nil"/>
              <w:bottom w:val="nil"/>
              <w:right w:val="nil"/>
              <w:insideH w:val="nil"/>
              <w:insideV w:val="nil"/>
            </w:tcBorders>
            <w:shd w:color="auto" w:fill="auto" w:val="clear"/>
            <w:vAlign w:val="center"/>
          </w:tcPr>
          <w:p>
            <w:pPr>
              <w:pStyle w:val="Normal"/>
              <w:tabs>
                <w:tab w:val="left" w:pos="1701" w:leader="none"/>
              </w:tabs>
              <w:rPr>
                <w:rFonts w:ascii="Arial" w:hAnsi="Arial" w:cs="Arial"/>
                <w:color w:val="000000"/>
                <w:sz w:val="20"/>
                <w:szCs w:val="20"/>
              </w:rPr>
            </w:pPr>
            <w:r>
              <w:rPr>
                <w:rFonts w:eastAsia="MS Mincho" w:cs="Arial" w:ascii="Arial" w:hAnsi="Arial"/>
                <w:color w:val="000000"/>
                <w:sz w:val="20"/>
                <w:szCs w:val="20"/>
                <w:lang w:eastAsia="en-US"/>
              </w:rPr>
              <w:t xml:space="preserve">I = </w:t>
            </w:r>
          </w:p>
        </w:tc>
        <w:tc>
          <w:tcPr>
            <w:tcW w:w="1276" w:type="dxa"/>
            <w:tcBorders>
              <w:top w:val="nil"/>
              <w:left w:val="nil"/>
              <w:right w:val="nil"/>
              <w:insideV w:val="nil"/>
            </w:tcBorders>
            <w:shd w:color="auto" w:fill="auto" w:val="clear"/>
          </w:tcPr>
          <w:p>
            <w:pPr>
              <w:pStyle w:val="Normal"/>
              <w:tabs>
                <w:tab w:val="left" w:pos="1701" w:leader="none"/>
              </w:tabs>
              <w:jc w:val="center"/>
              <w:rPr>
                <w:rFonts w:ascii="Arial" w:hAnsi="Arial" w:cs="Arial"/>
                <w:color w:val="000000"/>
                <w:sz w:val="20"/>
                <w:szCs w:val="20"/>
              </w:rPr>
            </w:pPr>
            <w:r>
              <w:rPr>
                <w:rFonts w:eastAsia="MS Mincho" w:cs="Arial" w:ascii="Arial" w:hAnsi="Arial"/>
                <w:color w:val="000000"/>
                <w:sz w:val="20"/>
                <w:szCs w:val="20"/>
                <w:lang w:eastAsia="en-US"/>
              </w:rPr>
              <w:t>( 6 / 100 )</w:t>
            </w:r>
          </w:p>
        </w:tc>
        <w:tc>
          <w:tcPr>
            <w:tcW w:w="4928" w:type="dxa"/>
            <w:vMerge w:val="restart"/>
            <w:tcBorders>
              <w:top w:val="nil"/>
              <w:left w:val="nil"/>
              <w:bottom w:val="nil"/>
              <w:right w:val="nil"/>
              <w:insideH w:val="nil"/>
              <w:insideV w:val="nil"/>
            </w:tcBorders>
            <w:shd w:color="auto" w:fill="auto" w:val="clear"/>
            <w:vAlign w:val="center"/>
          </w:tcPr>
          <w:p>
            <w:pPr>
              <w:pStyle w:val="Normal"/>
              <w:tabs>
                <w:tab w:val="left" w:pos="1701" w:leader="none"/>
              </w:tabs>
              <w:ind w:left="742" w:hanging="0"/>
              <w:rPr>
                <w:rFonts w:ascii="Arial" w:hAnsi="Arial" w:cs="Arial"/>
                <w:color w:val="000000"/>
                <w:sz w:val="20"/>
                <w:szCs w:val="20"/>
              </w:rPr>
            </w:pPr>
            <w:r>
              <w:rPr>
                <w:rFonts w:eastAsia="MS Mincho" w:cs="Arial" w:ascii="Arial" w:hAnsi="Arial"/>
                <w:color w:val="000000"/>
                <w:sz w:val="20"/>
                <w:szCs w:val="20"/>
                <w:lang w:eastAsia="en-US"/>
              </w:rPr>
              <w:t>I = 0,00016438</w:t>
            </w:r>
          </w:p>
          <w:p>
            <w:pPr>
              <w:pStyle w:val="Normal"/>
              <w:tabs>
                <w:tab w:val="left" w:pos="1701" w:leader="none"/>
              </w:tabs>
              <w:ind w:left="742" w:hanging="0"/>
              <w:rPr>
                <w:rFonts w:ascii="Arial" w:hAnsi="Arial" w:cs="Arial"/>
                <w:color w:val="000000"/>
                <w:sz w:val="20"/>
                <w:szCs w:val="20"/>
              </w:rPr>
            </w:pPr>
            <w:r>
              <w:rPr>
                <w:rFonts w:eastAsia="MS Mincho" w:cs="Arial" w:ascii="Arial" w:hAnsi="Arial"/>
                <w:color w:val="000000"/>
                <w:sz w:val="20"/>
                <w:szCs w:val="20"/>
                <w:lang w:eastAsia="en-US"/>
              </w:rPr>
              <w:t>TX = Percentual da taxa anual = 6%</w:t>
            </w:r>
          </w:p>
        </w:tc>
      </w:tr>
      <w:tr>
        <w:trPr/>
        <w:tc>
          <w:tcPr>
            <w:tcW w:w="2211" w:type="dxa"/>
            <w:vMerge w:val="continue"/>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c>
          <w:tcPr>
            <w:tcW w:w="446" w:type="dxa"/>
            <w:vMerge w:val="continue"/>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c>
          <w:tcPr>
            <w:tcW w:w="1276" w:type="dxa"/>
            <w:tcBorders>
              <w:left w:val="nil"/>
              <w:right w:val="nil"/>
              <w:insideV w:val="nil"/>
            </w:tcBorders>
            <w:shd w:color="auto" w:fill="auto" w:val="clear"/>
          </w:tcPr>
          <w:p>
            <w:pPr>
              <w:pStyle w:val="Normal"/>
              <w:tabs>
                <w:tab w:val="left" w:pos="1701" w:leader="none"/>
              </w:tabs>
              <w:jc w:val="center"/>
              <w:rPr>
                <w:rFonts w:ascii="Arial" w:hAnsi="Arial" w:cs="Arial"/>
                <w:color w:val="000000"/>
                <w:sz w:val="20"/>
                <w:szCs w:val="20"/>
              </w:rPr>
            </w:pPr>
            <w:r>
              <w:rPr>
                <w:rFonts w:eastAsia="MS Mincho" w:cs="Arial" w:ascii="Arial" w:hAnsi="Arial"/>
                <w:color w:val="000000"/>
                <w:sz w:val="20"/>
                <w:szCs w:val="20"/>
                <w:lang w:eastAsia="en-US"/>
              </w:rPr>
              <w:t>365</w:t>
            </w:r>
          </w:p>
        </w:tc>
        <w:tc>
          <w:tcPr>
            <w:tcW w:w="4928" w:type="dxa"/>
            <w:vMerge w:val="continue"/>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r>
      <w:tr>
        <w:trPr/>
        <w:tc>
          <w:tcPr>
            <w:tcW w:w="2211" w:type="dxa"/>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c>
          <w:tcPr>
            <w:tcW w:w="446" w:type="dxa"/>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c>
          <w:tcPr>
            <w:tcW w:w="1276" w:type="dxa"/>
            <w:tcBorders>
              <w:top w:val="nil"/>
              <w:left w:val="nil"/>
              <w:bottom w:val="nil"/>
              <w:right w:val="nil"/>
              <w:insideH w:val="nil"/>
              <w:insideV w:val="nil"/>
            </w:tcBorders>
            <w:shd w:color="auto" w:fill="auto" w:val="clear"/>
          </w:tcPr>
          <w:p>
            <w:pPr>
              <w:pStyle w:val="Normal"/>
              <w:tabs>
                <w:tab w:val="left" w:pos="1701" w:leader="none"/>
              </w:tabs>
              <w:jc w:val="center"/>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c>
          <w:tcPr>
            <w:tcW w:w="4928" w:type="dxa"/>
            <w:tcBorders>
              <w:top w:val="nil"/>
              <w:left w:val="nil"/>
              <w:bottom w:val="nil"/>
              <w:right w:val="nil"/>
              <w:insideH w:val="nil"/>
              <w:insideV w:val="nil"/>
            </w:tcBorders>
            <w:shd w:color="auto" w:fill="auto" w:val="clear"/>
          </w:tcPr>
          <w:p>
            <w:pPr>
              <w:pStyle w:val="Normal"/>
              <w:tabs>
                <w:tab w:val="left" w:pos="1701" w:leader="none"/>
              </w:tabs>
              <w:jc w:val="both"/>
              <w:rPr>
                <w:rFonts w:ascii="Arial" w:hAnsi="Arial" w:eastAsia="" w:cs="Arial" w:eastAsiaTheme="minorEastAsia"/>
                <w:color w:val="000000"/>
                <w:sz w:val="20"/>
                <w:szCs w:val="20"/>
                <w:lang w:eastAsia="en-US"/>
              </w:rPr>
            </w:pPr>
            <w:r>
              <w:rPr>
                <w:rFonts w:eastAsia="" w:cs="Arial" w:eastAsiaTheme="minorEastAsia" w:ascii="Arial" w:hAnsi="Arial"/>
                <w:color w:val="000000"/>
                <w:sz w:val="20"/>
                <w:szCs w:val="20"/>
                <w:lang w:eastAsia="en-US"/>
              </w:rPr>
            </w:r>
          </w:p>
        </w:tc>
      </w:tr>
    </w:tbl>
    <w:p>
      <w:pPr>
        <w:pStyle w:val="Normal"/>
        <w:numPr>
          <w:ilvl w:val="0"/>
          <w:numId w:val="1"/>
        </w:numPr>
        <w:spacing w:lineRule="auto" w:line="276" w:before="120" w:after="120"/>
        <w:jc w:val="both"/>
        <w:rPr>
          <w:rFonts w:ascii="Arial" w:hAnsi="Arial" w:cs="Arial"/>
          <w:b/>
          <w:b/>
          <w:color w:val="000000"/>
          <w:sz w:val="20"/>
          <w:szCs w:val="20"/>
        </w:rPr>
      </w:pPr>
      <w:r>
        <w:rPr>
          <w:rFonts w:cs="Arial" w:ascii="Arial" w:hAnsi="Arial"/>
          <w:b/>
          <w:color w:val="000000"/>
          <w:sz w:val="20"/>
          <w:szCs w:val="20"/>
        </w:rPr>
        <w:t xml:space="preserve">DA FORMAÇÃO DO CADASTRO DE RESERVA </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Após o encerramento da etapa competitiva, os licitantes poderão reduzir seus preços ao valor da proposta do licitante mais bem classificado.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A apresentação de novas propostas na forma deste item não prejudicará o resultado do certame em relação ao licitante melhor classificado.</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lang w:eastAsia="en-US"/>
        </w:rPr>
      </w:pPr>
      <w:r>
        <w:rPr>
          <w:rFonts w:cs="Arial" w:ascii="Arial" w:hAnsi="Arial"/>
          <w:color w:val="000000"/>
          <w:sz w:val="20"/>
          <w:szCs w:val="20"/>
          <w:lang w:eastAsia="en-US"/>
        </w:rPr>
        <w:t>Havendo um ou mais licitantes que aceitem cotar suas propostas em valor igual ao do licitante vencedor, estes serão classificados segundo a ordem da última proposta individual apresentada durante a fase competitiva.</w:t>
      </w:r>
    </w:p>
    <w:p>
      <w:pPr>
        <w:pStyle w:val="Normal"/>
        <w:numPr>
          <w:ilvl w:val="2"/>
          <w:numId w:val="1"/>
        </w:numPr>
        <w:tabs>
          <w:tab w:val="left" w:pos="709" w:leader="none"/>
        </w:tabs>
        <w:spacing w:lineRule="auto" w:line="276" w:before="120" w:after="120"/>
        <w:ind w:left="0" w:hanging="0"/>
        <w:jc w:val="both"/>
        <w:rPr>
          <w:rFonts w:ascii="Arial" w:hAnsi="Arial" w:cs="Arial"/>
          <w:color w:val="000000"/>
          <w:sz w:val="20"/>
          <w:szCs w:val="20"/>
        </w:rPr>
      </w:pPr>
      <w:r>
        <w:rPr>
          <w:rFonts w:cs="Arial" w:ascii="Arial" w:hAnsi="Arial"/>
          <w:color w:val="000000"/>
          <w:sz w:val="20"/>
          <w:szCs w:val="20"/>
          <w:lang w:eastAsia="en-US"/>
        </w:rPr>
        <w:t>Esta ordem de classificação dos licitantes registrados deverá ser respeitada nas contratações e somente será utilizada acaso o melhor colocado no certame não assine a ata ou tenha seu registro cancelado</w:t>
      </w:r>
      <w:r>
        <w:rPr>
          <w:rFonts w:cs="Arial" w:ascii="Arial" w:hAnsi="Arial"/>
          <w:color w:val="000000"/>
          <w:sz w:val="20"/>
          <w:szCs w:val="20"/>
        </w:rPr>
        <w:t xml:space="preserve"> nas hipóteses previstas nos artigos 20 e 21 do Decreto n° 7.892/2013.</w:t>
      </w:r>
    </w:p>
    <w:p>
      <w:pPr>
        <w:pStyle w:val="Normal"/>
        <w:spacing w:lineRule="auto" w:line="276" w:before="120" w:after="120"/>
        <w:jc w:val="both"/>
        <w:rPr>
          <w:rFonts w:ascii="Arial" w:hAnsi="Arial" w:cs="Arial"/>
          <w:b/>
          <w:b/>
          <w:color w:val="000000"/>
          <w:sz w:val="20"/>
          <w:szCs w:val="20"/>
        </w:rPr>
      </w:pPr>
      <w:r>
        <w:rPr>
          <w:rFonts w:cs="Arial" w:ascii="Arial" w:hAnsi="Arial"/>
          <w:b/>
          <w:color w:val="000000"/>
          <w:sz w:val="20"/>
          <w:szCs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DAS SANÇÕES ADMINISTRATIVAS.</w:t>
      </w:r>
    </w:p>
    <w:p>
      <w:pPr>
        <w:pStyle w:val="Normal"/>
        <w:numPr>
          <w:ilvl w:val="1"/>
          <w:numId w:val="1"/>
        </w:numPr>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Comete infração administrativa, nos termos da Lei nº 10.520, de 2002, o licitante/adjudicatário</w:t>
      </w:r>
      <w:r>
        <w:rPr>
          <w:rFonts w:cs="Arial" w:ascii="Arial" w:hAnsi="Arial"/>
          <w:sz w:val="20"/>
          <w:shd w:fill="FFFFFF" w:val="clear"/>
        </w:rPr>
        <w:t xml:space="preserve"> </w:t>
      </w:r>
      <w:r>
        <w:rPr>
          <w:rFonts w:cs="Arial" w:ascii="Arial" w:hAnsi="Arial"/>
          <w:sz w:val="20"/>
          <w:szCs w:val="20"/>
          <w:shd w:fill="FFFFFF" w:val="clear"/>
        </w:rPr>
        <w:t xml:space="preserve">que: </w:t>
      </w:r>
    </w:p>
    <w:p>
      <w:pPr>
        <w:pStyle w:val="Normal"/>
        <w:numPr>
          <w:ilvl w:val="2"/>
          <w:numId w:val="1"/>
        </w:numPr>
        <w:tabs>
          <w:tab w:val="left" w:pos="709" w:leader="none"/>
        </w:tabs>
        <w:snapToGrid w:val="false"/>
        <w:spacing w:lineRule="auto" w:line="276" w:before="120" w:after="120"/>
        <w:ind w:left="0" w:hanging="0"/>
        <w:jc w:val="both"/>
        <w:rPr>
          <w:rFonts w:ascii="Arial" w:hAnsi="Arial" w:cs="Arial"/>
          <w:color w:val="000000"/>
          <w:sz w:val="20"/>
          <w:szCs w:val="20"/>
          <w:highlight w:val="white"/>
        </w:rPr>
      </w:pPr>
      <w:r>
        <w:rPr>
          <w:rFonts w:cs="Arial" w:ascii="Arial" w:hAnsi="Arial"/>
          <w:color w:val="000000"/>
          <w:sz w:val="20"/>
          <w:szCs w:val="20"/>
          <w:shd w:fill="FFFFFF" w:val="clear"/>
        </w:rPr>
        <w:t>não assinar a ata de registro de preços quando convocado dentro do prazo de validade da proposta, não aceitar/retirar a nota de empenho ou não assinar o termo de contrato decorrente da ata de registro de preços;</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apresentar</w:t>
      </w:r>
      <w:r>
        <w:rPr>
          <w:rFonts w:cs="Arial" w:ascii="Arial" w:hAnsi="Arial"/>
          <w:shd w:fill="FFFFFF" w:val="clear"/>
        </w:rPr>
        <w:t xml:space="preserve"> </w:t>
      </w:r>
      <w:r>
        <w:rPr>
          <w:rFonts w:cs="Arial" w:ascii="Arial" w:hAnsi="Arial"/>
          <w:sz w:val="20"/>
          <w:szCs w:val="20"/>
          <w:shd w:fill="FFFFFF" w:val="clear"/>
        </w:rPr>
        <w:t>documentação falsa;</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deixar de entregar os documentos exigidos no certame;</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b/>
          <w:b/>
          <w:sz w:val="20"/>
          <w:szCs w:val="20"/>
          <w:highlight w:val="white"/>
        </w:rPr>
      </w:pPr>
      <w:r>
        <w:rPr>
          <w:rFonts w:cs="Arial" w:ascii="Arial" w:hAnsi="Arial"/>
          <w:sz w:val="20"/>
          <w:szCs w:val="20"/>
          <w:shd w:fill="FFFFFF" w:val="clear"/>
        </w:rPr>
        <w:t>ensejar o retardamento da execução do objeto;</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não</w:t>
      </w:r>
      <w:r>
        <w:rPr>
          <w:rFonts w:cs="Arial" w:ascii="Arial" w:hAnsi="Arial"/>
          <w:sz w:val="20"/>
          <w:shd w:fill="FFFFFF" w:val="clear"/>
        </w:rPr>
        <w:t xml:space="preserve"> mantiver a proposta</w:t>
      </w:r>
      <w:r>
        <w:rPr>
          <w:rFonts w:cs="Arial" w:ascii="Arial" w:hAnsi="Arial"/>
          <w:sz w:val="20"/>
          <w:szCs w:val="20"/>
          <w:shd w:fill="FFFFFF" w:val="clear"/>
        </w:rPr>
        <w:t>;</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cometer fraude fiscal;</w:t>
      </w:r>
    </w:p>
    <w:p>
      <w:pPr>
        <w:pStyle w:val="Normal"/>
        <w:numPr>
          <w:ilvl w:val="2"/>
          <w:numId w:val="1"/>
        </w:numPr>
        <w:tabs>
          <w:tab w:val="left" w:pos="709" w:leader="none"/>
          <w:tab w:val="left" w:pos="1843"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comportar-se de modo inidôneo.</w:t>
      </w:r>
    </w:p>
    <w:p>
      <w:pPr>
        <w:pStyle w:val="Normal"/>
        <w:numPr>
          <w:ilvl w:val="1"/>
          <w:numId w:val="1"/>
        </w:numPr>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Considera</w:t>
      </w:r>
      <w:r>
        <w:rPr>
          <w:rFonts w:cs="Arial" w:ascii="Arial" w:hAnsi="Arial"/>
          <w:color w:val="000000"/>
          <w:sz w:val="20"/>
          <w:szCs w:val="20"/>
          <w:shd w:fill="FFFFFF" w:val="clear"/>
        </w:rPr>
        <w:t>-se comportamento inidôneo, entre outros, a declaração falsa quanto às condições de participação, quanto ao enquadramento como ME/EPP ou o conluio entre os licitantes, em qualquer momento da licitação, mesmo após o encerramento da fase de lances.</w:t>
      </w:r>
    </w:p>
    <w:p>
      <w:pPr>
        <w:pStyle w:val="Normal"/>
        <w:numPr>
          <w:ilvl w:val="1"/>
          <w:numId w:val="1"/>
        </w:numPr>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 xml:space="preserve"> </w:t>
      </w:r>
      <w:r>
        <w:rPr>
          <w:rFonts w:cs="Arial" w:ascii="Arial" w:hAnsi="Arial"/>
          <w:sz w:val="20"/>
          <w:szCs w:val="20"/>
          <w:shd w:fill="FFFFFF" w:val="clear"/>
        </w:rPr>
        <w:t>licitante/adjudicatário que cometer qualquer das infrações discriminadas no subitem anterior ficará sujeito, sem prejuízo da responsabilidade civil e criminal, às seguintes sanções:</w:t>
      </w:r>
    </w:p>
    <w:p>
      <w:pPr>
        <w:pStyle w:val="Normal"/>
        <w:numPr>
          <w:ilvl w:val="2"/>
          <w:numId w:val="1"/>
        </w:numPr>
        <w:tabs>
          <w:tab w:val="left" w:pos="284" w:leader="none"/>
          <w:tab w:val="left" w:pos="709"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Multa de 30% (trinta por cento) sobre o valor estimado do(s) item(s) prejudicado(s) pela conduta do licitante;</w:t>
      </w:r>
    </w:p>
    <w:p>
      <w:pPr>
        <w:pStyle w:val="Normal"/>
        <w:numPr>
          <w:ilvl w:val="2"/>
          <w:numId w:val="1"/>
        </w:numPr>
        <w:tabs>
          <w:tab w:val="left" w:pos="709" w:leader="none"/>
        </w:tabs>
        <w:snapToGrid w:val="false"/>
        <w:spacing w:lineRule="auto" w:line="276" w:before="120" w:after="120"/>
        <w:ind w:left="0" w:hanging="0"/>
        <w:jc w:val="both"/>
        <w:rPr>
          <w:rFonts w:ascii="Arial" w:hAnsi="Arial" w:cs="Arial"/>
          <w:sz w:val="20"/>
          <w:szCs w:val="20"/>
          <w:highlight w:val="white"/>
        </w:rPr>
      </w:pPr>
      <w:r>
        <w:rPr>
          <w:rFonts w:cs="Arial" w:ascii="Arial" w:hAnsi="Arial"/>
          <w:sz w:val="20"/>
          <w:szCs w:val="20"/>
          <w:shd w:fill="FFFFFF" w:val="clear"/>
        </w:rPr>
        <w:t>Impedimento de licitar e de contratar com a União e descredenciamento no SICAF, pelo prazo de até cinco anos;</w:t>
      </w:r>
    </w:p>
    <w:p>
      <w:pPr>
        <w:pStyle w:val="Normal"/>
        <w:numPr>
          <w:ilvl w:val="1"/>
          <w:numId w:val="1"/>
        </w:numPr>
        <w:spacing w:lineRule="auto" w:line="276" w:before="120" w:after="120"/>
        <w:ind w:left="0" w:hanging="0"/>
        <w:jc w:val="both"/>
        <w:rPr>
          <w:rFonts w:ascii="Arial" w:hAnsi="Arial" w:cs="Arial"/>
          <w:sz w:val="20"/>
        </w:rPr>
      </w:pPr>
      <w:r>
        <w:rPr>
          <w:rFonts w:cs="Arial" w:ascii="Arial" w:hAnsi="Arial"/>
          <w:sz w:val="20"/>
          <w:szCs w:val="20"/>
          <w:shd w:fill="FFFFFF" w:val="clear"/>
        </w:rPr>
        <w:t>A penalidade de multa pode ser aplicada cumulativamente com a sanção de impedimento</w:t>
      </w:r>
      <w:r>
        <w:rPr>
          <w:rFonts w:cs="Arial" w:ascii="Arial" w:hAnsi="Arial"/>
          <w:sz w:val="20"/>
          <w:shd w:fill="FFFFFF" w:val="clear"/>
        </w:rPr>
        <w:t>.</w:t>
      </w:r>
    </w:p>
    <w:p>
      <w:pPr>
        <w:pStyle w:val="Normal"/>
        <w:numPr>
          <w:ilvl w:val="2"/>
          <w:numId w:val="1"/>
        </w:numPr>
        <w:tabs>
          <w:tab w:val="left" w:pos="709" w:leader="none"/>
        </w:tabs>
        <w:snapToGrid w:val="false"/>
        <w:spacing w:lineRule="auto" w:line="276" w:before="120" w:after="120"/>
        <w:ind w:left="0" w:hanging="0"/>
        <w:jc w:val="both"/>
        <w:rPr>
          <w:rFonts w:ascii="Arial" w:hAnsi="Arial" w:cs="Arial"/>
          <w:color w:val="000000"/>
          <w:sz w:val="20"/>
          <w:szCs w:val="20"/>
        </w:rPr>
      </w:pPr>
      <w:r>
        <w:rPr>
          <w:rFonts w:cs="Arial" w:ascii="Arial" w:hAnsi="Arial"/>
          <w:sz w:val="20"/>
          <w:szCs w:val="20"/>
        </w:rPr>
        <w:t xml:space="preserve">A </w:t>
      </w:r>
      <w:r>
        <w:rPr>
          <w:rFonts w:cs="Arial" w:ascii="Arial" w:hAnsi="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A autoridade competente, na aplicação das sanções, levará em </w:t>
      </w:r>
      <w:r>
        <w:rPr>
          <w:rFonts w:cs="Arial" w:ascii="Arial" w:hAnsi="Arial"/>
          <w:sz w:val="20"/>
          <w:szCs w:val="20"/>
          <w:shd w:fill="FFFFFF" w:val="clear"/>
        </w:rPr>
        <w:t>consideração</w:t>
      </w:r>
      <w:r>
        <w:rPr>
          <w:rFonts w:cs="Arial" w:ascii="Arial" w:hAnsi="Arial"/>
          <w:color w:val="000000"/>
          <w:sz w:val="20"/>
          <w:szCs w:val="20"/>
        </w:rPr>
        <w:t xml:space="preserve"> a gravidade da conduta do infrator, o caráter educativo da pena, bem como o dano causado à Administração, observado o princípio da proporcionalidade,</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penalidades serão obrigatoriamente registradas no SICAF.</w:t>
      </w:r>
    </w:p>
    <w:p>
      <w:pPr>
        <w:pStyle w:val="Normal"/>
        <w:numPr>
          <w:ilvl w:val="1"/>
          <w:numId w:val="1"/>
        </w:numPr>
        <w:spacing w:lineRule="auto" w:line="276" w:before="120" w:after="120"/>
        <w:ind w:left="0" w:hanging="0"/>
        <w:jc w:val="both"/>
        <w:rPr>
          <w:rFonts w:ascii="Arial" w:hAnsi="Arial" w:cs="Arial"/>
          <w:color w:val="000000"/>
          <w:sz w:val="20"/>
        </w:rPr>
      </w:pPr>
      <w:r>
        <w:rPr>
          <w:rFonts w:cs="Arial" w:ascii="Arial" w:hAnsi="Arial"/>
          <w:color w:val="000000"/>
          <w:sz w:val="20"/>
          <w:szCs w:val="20"/>
        </w:rPr>
        <w:t>As sanções por atos praticados no decorrer da contratação estão previstas no Termo de Referência.</w:t>
      </w:r>
    </w:p>
    <w:p>
      <w:pPr>
        <w:pStyle w:val="Normal"/>
        <w:spacing w:lineRule="auto" w:line="276" w:before="120" w:after="120"/>
        <w:ind w:left="425" w:hanging="0"/>
        <w:jc w:val="both"/>
        <w:rPr>
          <w:rFonts w:ascii="Arial" w:hAnsi="Arial" w:cs="Arial"/>
          <w:color w:val="000000"/>
          <w:sz w:val="20"/>
        </w:rPr>
      </w:pPr>
      <w:r>
        <w:rPr>
          <w:rFonts w:cs="Arial" w:ascii="Arial" w:hAnsi="Arial"/>
          <w:color w:val="000000"/>
          <w:sz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 IMPUGNAÇÃO AO EDITAL E DO PEDIDO DE ESCLARECIMENTO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Até 02 (dois) dias úteis antes da data designada para a abertura da sessão pública, qualquer pessoa poderá impugnar este Edital.</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 impugnação poderá ser realizada por forma eletrônica, pelo e-mail licitacoesuffs@gmail.com ou por petição dirigida ou protocolada no endereço contido no preâmbulo deste Edital.</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Caberá ao Pregoeiro decidir sobre a impugnação no prazo de até vinte e quatro horas.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Acolhida a impugnação, será definida e publicada nova data para a realização do certame.</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Os pedidos de esclarecimentos referentes a este processo licitatório deverão ser enviados ao Pregoeiro, até 03 (três) dias úteis anteriores à data designada para abertura da sessão pública, </w:t>
      </w:r>
      <w:r>
        <w:rPr>
          <w:rFonts w:cs="Arial" w:ascii="Arial" w:hAnsi="Arial"/>
          <w:bCs/>
          <w:sz w:val="20"/>
          <w:szCs w:val="20"/>
          <w:lang w:eastAsia="en-US"/>
        </w:rPr>
        <w:t>exclusivamente por meio eletrônico via internet, no endereço indicado no Edital.</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impugnações e pedidos de esclarecimentos não suspendem os prazos previstos no certame.</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respostas às impugnações e os esclarecimentos prestados pelo Pregoeiro serão entranhados nos autos do processo licitatório e estarão disponíveis para consulta por qualquer interessado.</w:t>
      </w:r>
    </w:p>
    <w:p>
      <w:pPr>
        <w:pStyle w:val="Normal"/>
        <w:spacing w:lineRule="auto" w:line="276" w:before="120" w:after="120"/>
        <w:ind w:left="425" w:hanging="0"/>
        <w:jc w:val="both"/>
        <w:rPr>
          <w:rFonts w:ascii="Arial" w:hAnsi="Arial" w:cs="Arial"/>
          <w:color w:val="000000"/>
          <w:sz w:val="20"/>
          <w:szCs w:val="20"/>
        </w:rPr>
      </w:pPr>
      <w:r>
        <w:rPr>
          <w:rFonts w:cs="Arial" w:ascii="Arial" w:hAnsi="Arial"/>
          <w:color w:val="000000"/>
          <w:sz w:val="20"/>
          <w:szCs w:val="20"/>
        </w:rPr>
      </w:r>
    </w:p>
    <w:p>
      <w:pPr>
        <w:pStyle w:val="Normal"/>
        <w:numPr>
          <w:ilvl w:val="0"/>
          <w:numId w:val="1"/>
        </w:numPr>
        <w:spacing w:lineRule="auto" w:line="276" w:before="120" w:after="120"/>
        <w:ind w:left="0" w:hanging="0"/>
        <w:jc w:val="both"/>
        <w:rPr>
          <w:rFonts w:ascii="Arial" w:hAnsi="Arial" w:cs="Arial"/>
          <w:b/>
          <w:b/>
          <w:color w:val="000000"/>
          <w:sz w:val="20"/>
          <w:szCs w:val="20"/>
        </w:rPr>
      </w:pPr>
      <w:r>
        <w:rPr>
          <w:rFonts w:cs="Arial" w:ascii="Arial" w:hAnsi="Arial"/>
          <w:b/>
          <w:color w:val="000000"/>
          <w:sz w:val="20"/>
          <w:szCs w:val="20"/>
        </w:rPr>
        <w:t>DAS DISPOSIÇÕES GERAIS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 xml:space="preserve"> </w:t>
      </w:r>
      <w:r>
        <w:rPr>
          <w:rFonts w:cs="Arial" w:ascii="Arial" w:hAnsi="Arial"/>
          <w:color w:val="000000"/>
          <w:sz w:val="20"/>
          <w:szCs w:val="20"/>
        </w:rPr>
        <w:t>A homologação do resultado desta licitação não implicará direito à contratação.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Na contagem dos prazos estabelecidos neste Edital e seus Anexos, excluir-se-á o dia do início e incluir-se-á o do vencimento. Só se iniciam e vencem os prazos em dias de expediente na Administração.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desatendimento de exigências formais não essenciais não importará o afastamento do licitante, desde que seja possível o aproveitamento do ato, observados os princípios da isonomia e do interesse público.</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Em caso de divergência entre disposições deste Edital e de seus anexos ou demais peças que compõem o processo, prevalecerá as deste Edital.</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O Edital está disponibilizado, na íntegra, no endereço eletrônico www.comprasnet.gov.br, e também poderão ser lidos e/ou obtidos no endereço constante no preâmbulo deste Edital, nos dias úteis, no horário das 08 às 12 horas e das 13h30min às 17h30min, mesmo endereço e período no qual os autos do processo administrativo permanecerão com vista franqueada aos interessados.</w:t>
      </w:r>
    </w:p>
    <w:p>
      <w:pPr>
        <w:pStyle w:val="Normal"/>
        <w:numPr>
          <w:ilvl w:val="1"/>
          <w:numId w:val="1"/>
        </w:numPr>
        <w:spacing w:lineRule="auto" w:line="276" w:before="120" w:after="120"/>
        <w:ind w:left="0" w:hanging="0"/>
        <w:jc w:val="both"/>
        <w:rPr>
          <w:rFonts w:ascii="Arial" w:hAnsi="Arial" w:cs="Arial"/>
          <w:color w:val="000000"/>
          <w:sz w:val="20"/>
          <w:szCs w:val="20"/>
        </w:rPr>
      </w:pPr>
      <w:r>
        <w:rPr>
          <w:rFonts w:cs="Arial" w:ascii="Arial" w:hAnsi="Arial"/>
          <w:color w:val="000000"/>
          <w:sz w:val="20"/>
          <w:szCs w:val="20"/>
        </w:rPr>
        <w:t>Integram este Edital, para todos os fins e efeitos, os seguintes anexos:</w:t>
      </w:r>
    </w:p>
    <w:p>
      <w:pPr>
        <w:pStyle w:val="Normal"/>
        <w:numPr>
          <w:ilvl w:val="2"/>
          <w:numId w:val="1"/>
        </w:numPr>
        <w:snapToGrid w:val="false"/>
        <w:spacing w:lineRule="auto" w:line="276" w:before="120" w:after="120"/>
        <w:ind w:left="0" w:hanging="0"/>
        <w:jc w:val="both"/>
        <w:rPr>
          <w:rFonts w:ascii="Arial" w:hAnsi="Arial" w:cs="Arial"/>
          <w:iCs/>
          <w:color w:val="000000"/>
          <w:sz w:val="20"/>
          <w:szCs w:val="20"/>
        </w:rPr>
      </w:pPr>
      <w:r>
        <w:rPr>
          <w:rFonts w:cs="Arial" w:ascii="Arial" w:hAnsi="Arial"/>
          <w:color w:val="000000"/>
          <w:sz w:val="20"/>
          <w:szCs w:val="20"/>
        </w:rPr>
        <w:t xml:space="preserve"> </w:t>
      </w:r>
      <w:r>
        <w:rPr>
          <w:rFonts w:cs="Arial" w:ascii="Arial" w:hAnsi="Arial"/>
          <w:color w:val="000000"/>
          <w:sz w:val="20"/>
          <w:szCs w:val="20"/>
        </w:rPr>
        <w:t>ANEXO I - Termo de Referência;</w:t>
      </w:r>
    </w:p>
    <w:p>
      <w:pPr>
        <w:pStyle w:val="Normal"/>
        <w:numPr>
          <w:ilvl w:val="2"/>
          <w:numId w:val="1"/>
        </w:numPr>
        <w:snapToGrid w:val="false"/>
        <w:spacing w:lineRule="auto" w:line="276" w:before="120" w:after="120"/>
        <w:ind w:left="0" w:hanging="0"/>
        <w:jc w:val="both"/>
        <w:rPr>
          <w:rFonts w:ascii="Arial" w:hAnsi="Arial" w:cs="Arial"/>
          <w:iCs/>
          <w:color w:val="000000"/>
          <w:sz w:val="20"/>
          <w:szCs w:val="20"/>
        </w:rPr>
      </w:pPr>
      <w:r>
        <w:rPr>
          <w:rFonts w:cs="Arial" w:ascii="Arial" w:hAnsi="Arial"/>
          <w:color w:val="000000"/>
          <w:sz w:val="20"/>
          <w:szCs w:val="20"/>
        </w:rPr>
        <w:t>ANEXO II – Ata de Registro de Preços;</w:t>
      </w:r>
    </w:p>
    <w:p>
      <w:pPr>
        <w:pStyle w:val="Normal"/>
        <w:spacing w:lineRule="auto" w:line="276" w:before="120" w:after="120"/>
        <w:jc w:val="center"/>
        <w:rPr>
          <w:rFonts w:ascii="Arial" w:hAnsi="Arial" w:cs="Arial"/>
          <w:color w:val="000000"/>
          <w:sz w:val="20"/>
          <w:szCs w:val="20"/>
        </w:rPr>
      </w:pPr>
      <w:r>
        <w:rPr>
          <w:rFonts w:cs="Arial" w:ascii="Arial" w:hAnsi="Arial"/>
          <w:color w:val="000000"/>
          <w:sz w:val="20"/>
          <w:szCs w:val="20"/>
        </w:rPr>
      </w:r>
    </w:p>
    <w:p>
      <w:pPr>
        <w:pStyle w:val="Normal"/>
        <w:spacing w:lineRule="auto" w:line="276" w:before="120" w:after="120"/>
        <w:jc w:val="center"/>
        <w:rPr/>
      </w:pPr>
      <w:r>
        <w:rPr>
          <w:rFonts w:cs="Arial" w:ascii="Arial" w:hAnsi="Arial"/>
          <w:color w:val="000000"/>
          <w:sz w:val="20"/>
          <w:szCs w:val="20"/>
        </w:rPr>
        <w:t>Chapecó/SC, 0</w:t>
      </w:r>
      <w:r>
        <w:rPr>
          <w:rFonts w:cs="Arial" w:ascii="Arial" w:hAnsi="Arial"/>
          <w:color w:val="000000"/>
          <w:sz w:val="20"/>
          <w:szCs w:val="20"/>
        </w:rPr>
        <w:t>2</w:t>
      </w:r>
      <w:r>
        <w:rPr>
          <w:rFonts w:cs="Arial" w:ascii="Arial" w:hAnsi="Arial"/>
          <w:color w:val="000000"/>
          <w:sz w:val="20"/>
          <w:szCs w:val="20"/>
        </w:rPr>
        <w:t xml:space="preserve"> de abril de 2018.</w:t>
      </w:r>
    </w:p>
    <w:p>
      <w:pPr>
        <w:pStyle w:val="Western"/>
        <w:spacing w:lineRule="auto" w:line="276" w:beforeAutospacing="0" w:before="280" w:after="0"/>
        <w:jc w:val="center"/>
        <w:rPr>
          <w:rFonts w:ascii="Calibri" w:hAnsi="Calibri"/>
          <w:b/>
          <w:b/>
          <w:bCs/>
          <w:color w:val="000000"/>
        </w:rPr>
      </w:pPr>
      <w:r>
        <w:rPr>
          <w:rFonts w:ascii="Calibri" w:hAnsi="Calibri"/>
          <w:b/>
          <w:bCs/>
          <w:color w:val="000000"/>
        </w:rPr>
      </w:r>
    </w:p>
    <w:p>
      <w:pPr>
        <w:pStyle w:val="Western"/>
        <w:spacing w:lineRule="auto" w:line="276" w:beforeAutospacing="0" w:before="280" w:after="0"/>
        <w:jc w:val="center"/>
        <w:rPr>
          <w:rFonts w:ascii="Calibri" w:hAnsi="Calibri"/>
          <w:b/>
          <w:b/>
          <w:bCs/>
          <w:color w:val="000000"/>
        </w:rPr>
      </w:pPr>
      <w:r>
        <w:rPr>
          <w:rFonts w:ascii="Calibri" w:hAnsi="Calibri"/>
          <w:b/>
          <w:bCs/>
          <w:color w:val="000000"/>
        </w:rPr>
      </w:r>
    </w:p>
    <w:p>
      <w:pPr>
        <w:pStyle w:val="Normal"/>
        <w:spacing w:lineRule="auto" w:line="276"/>
        <w:jc w:val="center"/>
        <w:rPr>
          <w:rFonts w:ascii="Calibri" w:hAnsi="Calibri" w:cs="Times New Roman"/>
          <w:b/>
          <w:b/>
          <w:bCs/>
          <w:color w:val="000000"/>
        </w:rPr>
      </w:pPr>
      <w:r>
        <w:rPr>
          <w:rFonts w:cs="Times New Roman" w:ascii="Calibri" w:hAnsi="Calibri"/>
          <w:b/>
          <w:bCs/>
          <w:color w:val="000000"/>
        </w:rPr>
        <w:t>BERTIL LEVI HAMMARSTROM</w:t>
      </w:r>
    </w:p>
    <w:p>
      <w:pPr>
        <w:pStyle w:val="Western"/>
        <w:spacing w:lineRule="auto" w:line="276" w:beforeAutospacing="0" w:before="280" w:after="0"/>
        <w:jc w:val="center"/>
        <w:rPr/>
      </w:pPr>
      <w:r>
        <w:rPr>
          <w:rFonts w:ascii="Calibri" w:hAnsi="Calibri"/>
          <w:b/>
          <w:bCs/>
          <w:color w:val="000000"/>
        </w:rPr>
        <w:t>Pregoeiro</w:t>
      </w:r>
    </w:p>
    <w:p>
      <w:pPr>
        <w:pStyle w:val="Western"/>
        <w:spacing w:lineRule="auto" w:line="276" w:beforeAutospacing="0" w:before="113" w:after="240"/>
        <w:jc w:val="center"/>
        <w:rPr/>
      </w:pPr>
      <w:r>
        <w:rPr/>
      </w:r>
    </w:p>
    <w:p>
      <w:pPr>
        <w:pStyle w:val="Normal"/>
        <w:spacing w:lineRule="auto" w:line="276" w:before="0" w:after="120"/>
        <w:ind w:left="360" w:hanging="0"/>
        <w:rPr/>
      </w:pPr>
      <w:r>
        <w:rPr/>
      </w:r>
    </w:p>
    <w:sectPr>
      <w:headerReference w:type="default" r:id="rId6"/>
      <w:footerReference w:type="default" r:id="rId7"/>
      <w:type w:val="nextPage"/>
      <w:pgSz w:w="11906" w:h="16838"/>
      <w:pgMar w:left="1134" w:right="851" w:header="709" w:top="1134" w:footer="401" w:bottom="851"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tabs>
        <w:tab w:val="center" w:pos="4252" w:leader="none"/>
        <w:tab w:val="left" w:pos="6113" w:leader="none"/>
      </w:tabs>
      <w:jc w:val="center"/>
      <w:rPr>
        <w:rFonts w:ascii="Verdana" w:hAnsi="Verdana" w:cs="Verdana"/>
        <w:b/>
        <w:b/>
        <w:sz w:val="14"/>
        <w:szCs w:val="14"/>
      </w:rPr>
    </w:pPr>
    <w:r>
      <w:rPr>
        <w:rFonts w:cs="Verdana" w:ascii="Verdana" w:hAnsi="Verdana"/>
        <w:b/>
        <w:sz w:val="14"/>
        <w:szCs w:val="14"/>
      </w:rPr>
    </w:r>
  </w:p>
  <w:p>
    <w:pPr>
      <w:pStyle w:val="Standard"/>
      <w:tabs>
        <w:tab w:val="center" w:pos="4252" w:leader="none"/>
        <w:tab w:val="left" w:pos="6113" w:leader="none"/>
      </w:tabs>
      <w:jc w:val="center"/>
      <w:rPr/>
    </w:pPr>
    <w:r>
      <w:rPr>
        <w:rFonts w:cs="Verdana" w:ascii="Verdana" w:hAnsi="Verdana"/>
        <w:b/>
        <w:sz w:val="14"/>
        <w:szCs w:val="14"/>
      </w:rPr>
      <w:t>Universidade Federal da Fronteira Sul</w:t>
    </w:r>
  </w:p>
  <w:p>
    <w:pPr>
      <w:pStyle w:val="Standard"/>
      <w:jc w:val="center"/>
      <w:rPr/>
    </w:pPr>
    <w:r>
      <w:rPr>
        <w:rFonts w:cs="Verdana" w:ascii="Verdana" w:hAnsi="Verdana"/>
        <w:sz w:val="11"/>
        <w:szCs w:val="11"/>
      </w:rPr>
      <w:t xml:space="preserve">Avenida Fernando Machado, Nº 108E, Centro, </w:t>
      <w:br/>
      <w:t>Chapecó - Santa Catarina</w:t>
      <w:br/>
      <w:t>Brasil - CEP 89802-112</w:t>
    </w:r>
  </w:p>
  <w:p>
    <w:pPr>
      <w:pStyle w:val="Standard"/>
      <w:jc w:val="center"/>
      <w:rPr/>
    </w:pPr>
    <w:hyperlink r:id="rId1">
      <w:r>
        <w:rPr>
          <w:rStyle w:val="LinkdaInternet"/>
          <w:rFonts w:cs="Arial" w:ascii="Verdana" w:hAnsi="Verdana"/>
          <w:sz w:val="11"/>
          <w:szCs w:val="11"/>
        </w:rPr>
        <w:t>www.uffs.edu.br</w:t>
      </w:r>
    </w:hyperlink>
    <w:r>
      <w:rPr>
        <w:rFonts w:cs="Arial" w:ascii="Verdana" w:hAnsi="Verdana"/>
        <w:color w:val="000000"/>
        <w:sz w:val="11"/>
        <w:szCs w:val="11"/>
      </w:rPr>
      <w:br/>
    </w:r>
    <w:hyperlink r:id="rId2">
      <w:r>
        <w:rPr>
          <w:rStyle w:val="LinkdaInternet"/>
          <w:rFonts w:cs="Arial" w:ascii="Verdana" w:hAnsi="Verdana"/>
          <w:sz w:val="11"/>
          <w:szCs w:val="11"/>
        </w:rPr>
        <w:t>licitacoesuffs@gmail.com</w:t>
      </w:r>
    </w:hyperlink>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114300" distR="114300" simplePos="0" locked="0" layoutInCell="1" allowOverlap="1" relativeHeight="17" wp14:anchorId="45B02575">
              <wp:simplePos x="0" y="0"/>
              <wp:positionH relativeFrom="page">
                <wp:posOffset>6576060</wp:posOffset>
              </wp:positionH>
              <wp:positionV relativeFrom="paragraph">
                <wp:posOffset>-363220</wp:posOffset>
              </wp:positionV>
              <wp:extent cx="793115" cy="608965"/>
              <wp:effectExtent l="0" t="0" r="28575" b="21590"/>
              <wp:wrapNone/>
              <wp:docPr id="2" name="Quadro2"/>
              <a:graphic xmlns:a="http://schemas.openxmlformats.org/drawingml/2006/main">
                <a:graphicData uri="http://schemas.microsoft.com/office/word/2010/wordprocessingShape">
                  <wps:wsp>
                    <wps:cNvSpPr/>
                    <wps:spPr>
                      <a:xfrm>
                        <a:off x="0" y="0"/>
                        <a:ext cx="792360" cy="608400"/>
                      </a:xfrm>
                      <a:prstGeom prst="rect">
                        <a:avLst/>
                      </a:prstGeom>
                      <a:noFill/>
                      <a:ln w="6480">
                        <a:noFill/>
                      </a:ln>
                    </wps:spPr>
                    <wps:style>
                      <a:lnRef idx="0"/>
                      <a:fillRef idx="0"/>
                      <a:effectRef idx="0"/>
                      <a:fontRef idx="minor"/>
                    </wps:style>
                    <wps:txbx>
                      <w:txbxContent>
                        <w:p>
                          <w:pPr>
                            <w:pStyle w:val="Contedodoquadro"/>
                            <w:jc w:val="center"/>
                            <w:rPr>
                              <w:rFonts w:ascii="Arial" w:hAnsi="Arial" w:cs="Arial"/>
                              <w:b/>
                              <w:b/>
                              <w:bCs/>
                              <w:sz w:val="16"/>
                              <w:szCs w:val="16"/>
                            </w:rPr>
                          </w:pPr>
                          <w:r>
                            <w:rPr>
                              <w:rFonts w:cs="Arial" w:ascii="Arial" w:hAnsi="Arial"/>
                              <w:b/>
                              <w:bCs/>
                              <w:color w:val="000000"/>
                              <w:sz w:val="16"/>
                              <w:szCs w:val="16"/>
                            </w:rPr>
                            <w:t>UFFS</w:t>
                          </w:r>
                        </w:p>
                        <w:p>
                          <w:pPr>
                            <w:pStyle w:val="Contedodoquadro"/>
                            <w:rPr>
                              <w:rFonts w:ascii="Arial" w:hAnsi="Arial" w:cs="Arial"/>
                              <w:sz w:val="16"/>
                              <w:szCs w:val="16"/>
                            </w:rPr>
                          </w:pPr>
                          <w:r>
                            <w:rPr>
                              <w:rFonts w:cs="Arial" w:ascii="Arial" w:hAnsi="Arial"/>
                              <w:color w:val="000000"/>
                              <w:sz w:val="16"/>
                              <w:szCs w:val="16"/>
                            </w:rPr>
                            <w:t>Folha nº_______</w:t>
                          </w:r>
                        </w:p>
                        <w:p>
                          <w:pPr>
                            <w:pStyle w:val="Contedodoquadro"/>
                            <w:spacing w:before="0" w:after="120"/>
                            <w:rPr>
                              <w:rFonts w:ascii="Arial" w:hAnsi="Arial" w:cs="Arial"/>
                              <w:sz w:val="16"/>
                              <w:szCs w:val="16"/>
                            </w:rPr>
                          </w:pPr>
                          <w:r>
                            <w:rPr>
                              <w:rFonts w:cs="Arial" w:ascii="Arial" w:hAnsi="Arial"/>
                              <w:color w:val="000000"/>
                              <w:sz w:val="16"/>
                              <w:szCs w:val="16"/>
                            </w:rPr>
                            <w:t>Rubrica:_______</w:t>
                          </w:r>
                        </w:p>
                      </w:txbxContent>
                    </wps:txbx>
                    <wps:bodyPr lIns="0" rIns="0" tIns="0" bIns="0">
                      <a:noAutofit/>
                    </wps:bodyPr>
                  </wps:wsp>
                </a:graphicData>
              </a:graphic>
            </wp:anchor>
          </w:drawing>
        </mc:Choice>
        <mc:Fallback>
          <w:pict>
            <v:rect id="shape_0" ID="Quadro2" stroked="f" style="position:absolute;margin-left:517.8pt;margin-top:-28.6pt;width:62.35pt;height:47.85pt;mso-position-horizontal-relative:page" wp14:anchorId="45B02575">
              <w10:wrap type="square"/>
              <v:fill o:detectmouseclick="t" on="false"/>
              <v:stroke color="#3465a4" weight="6480" joinstyle="round" endcap="flat"/>
              <v:textbox>
                <w:txbxContent>
                  <w:p>
                    <w:pPr>
                      <w:pStyle w:val="Contedodoquadro"/>
                      <w:jc w:val="center"/>
                      <w:rPr>
                        <w:rFonts w:ascii="Arial" w:hAnsi="Arial" w:cs="Arial"/>
                        <w:b/>
                        <w:b/>
                        <w:bCs/>
                        <w:sz w:val="16"/>
                        <w:szCs w:val="16"/>
                      </w:rPr>
                    </w:pPr>
                    <w:r>
                      <w:rPr>
                        <w:rFonts w:cs="Arial" w:ascii="Arial" w:hAnsi="Arial"/>
                        <w:b/>
                        <w:bCs/>
                        <w:color w:val="000000"/>
                        <w:sz w:val="16"/>
                        <w:szCs w:val="16"/>
                      </w:rPr>
                      <w:t>UFFS</w:t>
                    </w:r>
                  </w:p>
                  <w:p>
                    <w:pPr>
                      <w:pStyle w:val="Contedodoquadro"/>
                      <w:rPr>
                        <w:rFonts w:ascii="Arial" w:hAnsi="Arial" w:cs="Arial"/>
                        <w:sz w:val="16"/>
                        <w:szCs w:val="16"/>
                      </w:rPr>
                    </w:pPr>
                    <w:r>
                      <w:rPr>
                        <w:rFonts w:cs="Arial" w:ascii="Arial" w:hAnsi="Arial"/>
                        <w:color w:val="000000"/>
                        <w:sz w:val="16"/>
                        <w:szCs w:val="16"/>
                      </w:rPr>
                      <w:t>Folha nº_______</w:t>
                    </w:r>
                  </w:p>
                  <w:p>
                    <w:pPr>
                      <w:pStyle w:val="Contedodoquadro"/>
                      <w:spacing w:before="0" w:after="120"/>
                      <w:rPr>
                        <w:rFonts w:ascii="Arial" w:hAnsi="Arial" w:cs="Arial"/>
                        <w:sz w:val="16"/>
                        <w:szCs w:val="16"/>
                      </w:rPr>
                    </w:pPr>
                    <w:r>
                      <w:rPr>
                        <w:rFonts w:cs="Arial" w:ascii="Arial" w:hAnsi="Arial"/>
                        <w:color w:val="000000"/>
                        <w:sz w:val="16"/>
                        <w:szCs w:val="16"/>
                      </w:rPr>
                      <w:t>Rubrica:_______</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0"/>
        <w:b/>
        <w:rFonts w:ascii="Arial" w:hAnsi="Arial"/>
      </w:rPr>
    </w:lvl>
    <w:lvl w:ilvl="1">
      <w:start w:val="1"/>
      <w:numFmt w:val="decimal"/>
      <w:lvlText w:val="%1.%2."/>
      <w:lvlJc w:val="left"/>
      <w:pPr>
        <w:ind w:left="4969" w:hanging="432"/>
      </w:pPr>
      <w:rPr>
        <w:sz w:val="20"/>
        <w:b/>
        <w:szCs w:val="20"/>
        <w:rFonts w:ascii="Arial" w:hAnsi="Arial" w:cs="Arial"/>
        <w:color w:val="00000A"/>
      </w:rPr>
    </w:lvl>
    <w:lvl w:ilvl="2">
      <w:start w:val="1"/>
      <w:numFmt w:val="decimal"/>
      <w:lvlText w:val="%1.%2.%3."/>
      <w:lvlJc w:val="left"/>
      <w:pPr>
        <w:ind w:left="1213" w:hanging="504"/>
      </w:pPr>
      <w:rPr>
        <w:sz w:val="20"/>
        <w:i w:val="false"/>
        <w:b/>
        <w:szCs w:val="20"/>
        <w:rFonts w:ascii="Arial" w:hAnsi="Arial"/>
        <w:color w:val="00000A"/>
      </w:rPr>
    </w:lvl>
    <w:lvl w:ilvl="3">
      <w:start w:val="1"/>
      <w:numFmt w:val="decimal"/>
      <w:lvlText w:val="%1.%2.%3.%4."/>
      <w:lvlJc w:val="left"/>
      <w:pPr>
        <w:ind w:left="1728" w:hanging="648"/>
      </w:pPr>
      <w:rPr>
        <w:sz w:val="20"/>
        <w:i w:val="false"/>
        <w:b/>
        <w:rFonts w:ascii="Arial" w:hAnsi="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decimal"/>
      <w:lvlText w:val="%1."/>
      <w:lvlJc w:val="left"/>
      <w:pPr>
        <w:ind w:left="360" w:hanging="360"/>
      </w:pPr>
      <w:rPr>
        <w:sz w:val="20"/>
        <w:b/>
        <w:rFonts w:ascii="Arial" w:hAnsi="Arial"/>
      </w:rPr>
    </w:lvl>
    <w:lvl w:ilvl="1">
      <w:start w:val="1"/>
      <w:numFmt w:val="decimal"/>
      <w:lvlText w:val="%1.%2."/>
      <w:lvlJc w:val="left"/>
      <w:pPr>
        <w:ind w:left="4969" w:hanging="432"/>
      </w:pPr>
      <w:rPr>
        <w:sz w:val="20"/>
        <w:b/>
        <w:szCs w:val="20"/>
        <w:rFonts w:ascii="Arial" w:hAnsi="Arial" w:cs="Arial"/>
        <w:color w:val="00000A"/>
      </w:rPr>
    </w:lvl>
    <w:lvl w:ilvl="2">
      <w:start w:val="1"/>
      <w:numFmt w:val="decimal"/>
      <w:lvlText w:val="%1.%2.%3."/>
      <w:lvlJc w:val="left"/>
      <w:pPr>
        <w:ind w:left="1213" w:hanging="504"/>
      </w:pPr>
      <w:rPr>
        <w:sz w:val="20"/>
        <w:i w:val="false"/>
        <w:b/>
        <w:szCs w:val="20"/>
        <w:rFonts w:ascii="Arial" w:hAnsi="Arial"/>
        <w:color w:val="00000A"/>
      </w:rPr>
    </w:lvl>
    <w:lvl w:ilvl="3">
      <w:start w:val="1"/>
      <w:numFmt w:val="decimal"/>
      <w:lvlText w:val="%1.%2.%3.%4."/>
      <w:lvlJc w:val="left"/>
      <w:pPr>
        <w:ind w:left="1728" w:hanging="648"/>
      </w:pPr>
      <w:rPr>
        <w:sz w:val="20"/>
        <w:i w:val="false"/>
        <w:b/>
        <w:rFonts w:ascii="Arial" w:hAnsi="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306"/>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a3a05"/>
    <w:pPr>
      <w:widowControl/>
      <w:bidi w:val="0"/>
      <w:jc w:val="left"/>
    </w:pPr>
    <w:rPr>
      <w:rFonts w:ascii="Ecofont_Spranq_eco_Sans" w:hAnsi="Ecofont_Spranq_eco_Sans" w:eastAsia="Times New Roman" w:cs="Tahoma"/>
      <w:color w:val="00000A"/>
      <w:sz w:val="24"/>
      <w:szCs w:val="24"/>
      <w:lang w:val="pt-BR" w:eastAsia="pt-BR" w:bidi="ar-SA"/>
    </w:rPr>
  </w:style>
  <w:style w:type="paragraph" w:styleId="Ttulo1" w:customStyle="1">
    <w:name w:val="Título 1"/>
    <w:basedOn w:val="Normal"/>
    <w:next w:val="Normal"/>
    <w:link w:val="Cabealho1Carter"/>
    <w:qFormat/>
    <w:rsid w:val="00034856"/>
    <w:pPr>
      <w:keepNext/>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tulo2" w:customStyle="1">
    <w:name w:val="Título 2"/>
    <w:basedOn w:val="Normal"/>
    <w:next w:val="Normal"/>
    <w:link w:val="Cabealho2Carter"/>
    <w:qFormat/>
    <w:rsid w:val="004b460a"/>
    <w:pPr>
      <w:keepNext/>
      <w:tabs>
        <w:tab w:val="left" w:pos="1701" w:leader="none"/>
      </w:tabs>
      <w:jc w:val="center"/>
      <w:outlineLvl w:val="1"/>
    </w:pPr>
    <w:rPr>
      <w:rFonts w:ascii="Times New Roman" w:hAnsi="Times New Roman" w:cs="Times New Roman"/>
      <w:b/>
      <w:color w:val="000000"/>
      <w:szCs w:val="20"/>
    </w:rPr>
  </w:style>
  <w:style w:type="paragraph" w:styleId="Ttulo3" w:customStyle="1">
    <w:name w:val="Título 3"/>
    <w:basedOn w:val="Ttulododocumento"/>
    <w:pPr/>
    <w:rPr/>
  </w:style>
  <w:style w:type="character" w:styleId="DefaultParagraphFont" w:default="1">
    <w:name w:val="Default Paragraph Font"/>
    <w:uiPriority w:val="1"/>
    <w:semiHidden/>
    <w:unhideWhenUsed/>
    <w:qFormat/>
    <w:rPr/>
  </w:style>
  <w:style w:type="character" w:styleId="TextodebaloCarter" w:customStyle="1">
    <w:name w:val="Texto de balão Caráter"/>
    <w:link w:val="Textodebalo"/>
    <w:qFormat/>
    <w:rsid w:val="003a73c1"/>
    <w:rPr>
      <w:rFonts w:ascii="Tahoma" w:hAnsi="Tahoma" w:cs="Tahoma"/>
      <w:sz w:val="16"/>
      <w:szCs w:val="16"/>
    </w:rPr>
  </w:style>
  <w:style w:type="character" w:styleId="Cabealho2Carter" w:customStyle="1">
    <w:name w:val="Cabeçalho 2 Caráte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blinkBackground"/>
    </w:rPr>
  </w:style>
  <w:style w:type="character" w:styleId="Applestylespan" w:customStyle="1">
    <w:name w:val="apple-style-span"/>
    <w:basedOn w:val="DefaultParagraphFont"/>
    <w:qFormat/>
    <w:rsid w:val="00260802"/>
    <w:rPr/>
  </w:style>
  <w:style w:type="character" w:styleId="LinkdaInternet" w:customStyle="1">
    <w:name w:val="Link da Internet"/>
    <w:rsid w:val="00bf1a7f"/>
    <w:rPr>
      <w:color w:val="000080"/>
      <w:u w:val="single"/>
    </w:rPr>
  </w:style>
  <w:style w:type="character" w:styleId="CitaoCarter" w:customStyle="1">
    <w:name w:val="Citação Caráter"/>
    <w:link w:val="Citao"/>
    <w:uiPriority w:val="29"/>
    <w:qFormat/>
    <w:rsid w:val="00fd6ecc"/>
    <w:rPr>
      <w:rFonts w:ascii="Arial" w:hAnsi="Arial" w:eastAsia="Calibri" w:cs="Tahoma"/>
      <w:i/>
      <w:iCs/>
      <w:color w:val="000000"/>
      <w:szCs w:val="24"/>
      <w:shd w:fill="FFFFCC" w:val="clear"/>
      <w:lang w:eastAsia="en-US"/>
    </w:rPr>
  </w:style>
  <w:style w:type="character" w:styleId="Citao2Char" w:customStyle="1">
    <w:name w:val="citação 2 Char"/>
    <w:basedOn w:val="CitaoCarter"/>
    <w:qFormat/>
    <w:rsid w:val="00fd6ecc"/>
    <w:rPr>
      <w:rFonts w:ascii="Arial" w:hAnsi="Arial" w:eastAsia="Calibri" w:cs="Tahoma"/>
      <w:i/>
      <w:iCs/>
      <w:color w:val="000000"/>
      <w:szCs w:val="24"/>
      <w:shd w:fill="FFFFCC" w:val="clear"/>
      <w:lang w:eastAsia="en-US"/>
    </w:rPr>
  </w:style>
  <w:style w:type="character" w:styleId="CabealhoCarter" w:customStyle="1">
    <w:name w:val="Cabeçalho Caráter"/>
    <w:link w:val="Cabealho"/>
    <w:qFormat/>
    <w:rsid w:val="00dd4982"/>
    <w:rPr>
      <w:rFonts w:ascii="Ecofont_Spranq_eco_Sans" w:hAnsi="Ecofont_Spranq_eco_Sans" w:cs="Tahoma"/>
      <w:sz w:val="24"/>
      <w:szCs w:val="24"/>
    </w:rPr>
  </w:style>
  <w:style w:type="character" w:styleId="RodapCarter" w:customStyle="1">
    <w:name w:val="Rodapé Caráter"/>
    <w:link w:val="Rodap"/>
    <w:qFormat/>
    <w:rsid w:val="00dd4982"/>
    <w:rPr>
      <w:rFonts w:ascii="Ecofont_Spranq_eco_Sans" w:hAnsi="Ecofont_Spranq_eco_Sans" w:cs="Tahoma"/>
      <w:sz w:val="24"/>
      <w:szCs w:val="24"/>
    </w:rPr>
  </w:style>
  <w:style w:type="character" w:styleId="Nfase">
    <w:name w:val="Ênfase"/>
    <w:qFormat/>
    <w:rsid w:val="00dd4982"/>
    <w:rPr>
      <w:i/>
      <w:iCs/>
    </w:rPr>
  </w:style>
  <w:style w:type="character" w:styleId="Cabealho1Carter" w:customStyle="1">
    <w:name w:val="Cabeçalho 1 Caráter"/>
    <w:basedOn w:val="DefaultParagraphFont"/>
    <w:link w:val="Ttulo1"/>
    <w:qFormat/>
    <w:rsid w:val="00034856"/>
    <w:rPr>
      <w:rFonts w:ascii="Cambria" w:hAnsi="Cambria" w:eastAsia="" w:cs="" w:asciiTheme="majorHAnsi" w:cstheme="majorBidi" w:eastAsiaTheme="majorEastAsia" w:hAnsiTheme="majorHAnsi"/>
      <w:color w:val="365F91" w:themeColor="accent1" w:themeShade="bf"/>
      <w:sz w:val="32"/>
      <w:szCs w:val="32"/>
    </w:rPr>
  </w:style>
  <w:style w:type="character" w:styleId="Nivel01Char" w:customStyle="1">
    <w:name w:val="Nivel 01 Char"/>
    <w:basedOn w:val="DefaultParagraphFont"/>
    <w:link w:val="Nivel01"/>
    <w:qFormat/>
    <w:rsid w:val="00034856"/>
    <w:rPr>
      <w:rFonts w:ascii="Ecofont_Spranq_eco_Sans" w:hAnsi="Ecofont_Spranq_eco_Sans" w:eastAsia="" w:eastAsiaTheme="majorEastAsia"/>
      <w:b/>
      <w:bCs/>
      <w:color w:val="000000"/>
    </w:rPr>
  </w:style>
  <w:style w:type="character" w:styleId="Internetlink" w:customStyle="1">
    <w:name w:val="Internet link"/>
    <w:qFormat/>
    <w:rsid w:val="00045851"/>
    <w:rPr>
      <w:color w:val="0000FF"/>
      <w:u w:val="single"/>
    </w:rPr>
  </w:style>
  <w:style w:type="character" w:styleId="ListLabel1" w:customStyle="1">
    <w:name w:val="ListLabel 1"/>
    <w:qFormat/>
    <w:rPr>
      <w:rFonts w:ascii="Arial" w:hAnsi="Arial"/>
      <w:b/>
      <w:sz w:val="20"/>
    </w:rPr>
  </w:style>
  <w:style w:type="character" w:styleId="ListLabel2" w:customStyle="1">
    <w:name w:val="ListLabel 2"/>
    <w:qFormat/>
    <w:rPr>
      <w:rFonts w:ascii="Arial" w:hAnsi="Arial" w:cs="Arial"/>
      <w:b/>
      <w:color w:val="00000A"/>
      <w:sz w:val="20"/>
      <w:szCs w:val="20"/>
    </w:rPr>
  </w:style>
  <w:style w:type="character" w:styleId="ListLabel3" w:customStyle="1">
    <w:name w:val="ListLabel 3"/>
    <w:qFormat/>
    <w:rPr>
      <w:rFonts w:ascii="Arial" w:hAnsi="Arial"/>
      <w:b/>
      <w:i w:val="false"/>
      <w:color w:val="00000A"/>
      <w:sz w:val="20"/>
      <w:szCs w:val="20"/>
    </w:rPr>
  </w:style>
  <w:style w:type="character" w:styleId="ListLabel4" w:customStyle="1">
    <w:name w:val="ListLabel 4"/>
    <w:qFormat/>
    <w:rPr>
      <w:rFonts w:ascii="Arial" w:hAnsi="Arial"/>
      <w:b/>
      <w:i w:val="false"/>
      <w:sz w:val="20"/>
    </w:rPr>
  </w:style>
  <w:style w:type="character" w:styleId="ListLabel5" w:customStyle="1">
    <w:name w:val="ListLabel 5"/>
    <w:qFormat/>
    <w:rPr>
      <w:rFonts w:eastAsia="Arial Unicode MS"/>
    </w:rPr>
  </w:style>
  <w:style w:type="character" w:styleId="ListLabel6" w:customStyle="1">
    <w:name w:val="ListLabel 6"/>
    <w:qFormat/>
    <w:rPr>
      <w:rFonts w:cs="Arial"/>
      <w:i/>
      <w:color w:val="FF0000"/>
    </w:rPr>
  </w:style>
  <w:style w:type="character" w:styleId="ListLabel7" w:customStyle="1">
    <w:name w:val="ListLabel 7"/>
    <w:qFormat/>
    <w:rPr>
      <w:color w:val="0000FF"/>
    </w:rPr>
  </w:style>
  <w:style w:type="character" w:styleId="ListLabel8" w:customStyle="1">
    <w:name w:val="ListLabel 8"/>
    <w:qFormat/>
    <w:rPr>
      <w:b w:val="false"/>
    </w:rPr>
  </w:style>
  <w:style w:type="character" w:styleId="ListLabel9" w:customStyle="1">
    <w:name w:val="ListLabel 9"/>
    <w:qFormat/>
    <w:rPr>
      <w:b/>
      <w:i w:val="false"/>
    </w:rPr>
  </w:style>
  <w:style w:type="character" w:styleId="ListLabel10" w:customStyle="1">
    <w:name w:val="ListLabel 10"/>
    <w:qFormat/>
    <w:rPr>
      <w:b/>
      <w:i w:val="false"/>
      <w:color w:val="00000A"/>
    </w:rPr>
  </w:style>
  <w:style w:type="character" w:styleId="ListLabel11" w:customStyle="1">
    <w:name w:val="ListLabel 11"/>
    <w:qFormat/>
    <w:rPr>
      <w:sz w:val="20"/>
      <w:szCs w:val="20"/>
    </w:rPr>
  </w:style>
  <w:style w:type="character" w:styleId="ListLabel12" w:customStyle="1">
    <w:name w:val="ListLabel 12"/>
    <w:qFormat/>
    <w:rPr>
      <w:b w:val="false"/>
      <w:sz w:val="20"/>
      <w:szCs w:val="20"/>
    </w:rPr>
  </w:style>
  <w:style w:type="character" w:styleId="ListLabel13" w:customStyle="1">
    <w:name w:val="ListLabel 13"/>
    <w:qFormat/>
    <w:rPr>
      <w:b w:val="false"/>
      <w:color w:val="00000A"/>
      <w:sz w:val="20"/>
      <w:szCs w:val="20"/>
    </w:rPr>
  </w:style>
  <w:style w:type="character" w:styleId="ListLabel14" w:customStyle="1">
    <w:name w:val="ListLabel 14"/>
    <w:qFormat/>
    <w:rPr>
      <w:b/>
      <w:i w:val="false"/>
      <w:sz w:val="22"/>
    </w:rPr>
  </w:style>
  <w:style w:type="character" w:styleId="ListLabel15" w:customStyle="1">
    <w:name w:val="ListLabel 15"/>
    <w:qFormat/>
    <w:rPr>
      <w:b/>
      <w:bCs w:val="false"/>
      <w:i w:val="false"/>
      <w:color w:val="00000A"/>
      <w:sz w:val="22"/>
    </w:rPr>
  </w:style>
  <w:style w:type="character" w:styleId="ListLabel16">
    <w:name w:val="ListLabel 16"/>
    <w:qFormat/>
    <w:rPr>
      <w:rFonts w:ascii="Arial" w:hAnsi="Arial"/>
      <w:b/>
      <w:sz w:val="20"/>
    </w:rPr>
  </w:style>
  <w:style w:type="character" w:styleId="ListLabel17">
    <w:name w:val="ListLabel 17"/>
    <w:qFormat/>
    <w:rPr>
      <w:rFonts w:ascii="Arial" w:hAnsi="Arial" w:cs="Arial"/>
      <w:b/>
      <w:color w:val="00000A"/>
      <w:sz w:val="20"/>
      <w:szCs w:val="20"/>
    </w:rPr>
  </w:style>
  <w:style w:type="character" w:styleId="ListLabel18">
    <w:name w:val="ListLabel 18"/>
    <w:qFormat/>
    <w:rPr>
      <w:rFonts w:ascii="Arial" w:hAnsi="Arial"/>
      <w:b/>
      <w:i w:val="false"/>
      <w:color w:val="00000A"/>
      <w:sz w:val="20"/>
      <w:szCs w:val="20"/>
    </w:rPr>
  </w:style>
  <w:style w:type="character" w:styleId="ListLabel19">
    <w:name w:val="ListLabel 19"/>
    <w:qFormat/>
    <w:rPr>
      <w:rFonts w:ascii="Arial" w:hAnsi="Arial"/>
      <w:b/>
      <w:i w:val="false"/>
      <w:sz w:val="20"/>
    </w:rPr>
  </w:style>
  <w:style w:type="character" w:styleId="ListLabel20">
    <w:name w:val="ListLabel 20"/>
    <w:qFormat/>
    <w:rPr>
      <w:rFonts w:ascii="Arial" w:hAnsi="Arial"/>
      <w:b/>
      <w:sz w:val="20"/>
    </w:rPr>
  </w:style>
  <w:style w:type="character" w:styleId="ListLabel21">
    <w:name w:val="ListLabel 21"/>
    <w:qFormat/>
    <w:rPr>
      <w:rFonts w:ascii="Arial" w:hAnsi="Arial" w:cs="Arial"/>
      <w:b/>
      <w:color w:val="00000A"/>
      <w:sz w:val="20"/>
      <w:szCs w:val="20"/>
    </w:rPr>
  </w:style>
  <w:style w:type="character" w:styleId="ListLabel22">
    <w:name w:val="ListLabel 22"/>
    <w:qFormat/>
    <w:rPr>
      <w:rFonts w:ascii="Arial" w:hAnsi="Arial"/>
      <w:b/>
      <w:i w:val="false"/>
      <w:color w:val="00000A"/>
      <w:sz w:val="20"/>
      <w:szCs w:val="20"/>
    </w:rPr>
  </w:style>
  <w:style w:type="character" w:styleId="ListLabel23">
    <w:name w:val="ListLabel 23"/>
    <w:qFormat/>
    <w:rPr>
      <w:rFonts w:ascii="Arial" w:hAnsi="Arial"/>
      <w:b/>
      <w:i w:val="false"/>
      <w:sz w:val="20"/>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Corpo de texto"/>
    <w:basedOn w:val="Normal"/>
    <w:pPr>
      <w:spacing w:lineRule="auto" w:line="288" w:before="0" w:after="140"/>
    </w:pPr>
    <w:rPr/>
  </w:style>
  <w:style w:type="paragraph" w:styleId="Lista">
    <w:name w:val="Lista"/>
    <w:basedOn w:val="Corpode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customStyle="1">
    <w:name w:val="Índice"/>
    <w:basedOn w:val="Normal"/>
    <w:qFormat/>
    <w:pPr>
      <w:suppressLineNumbers/>
    </w:pPr>
    <w:rPr>
      <w:rFonts w:cs="Mangal"/>
    </w:rPr>
  </w:style>
  <w:style w:type="paragraph" w:styleId="Ttulododocumento" w:customStyle="1">
    <w:name w:val="Título do documento"/>
    <w:basedOn w:val="Normal"/>
    <w:pPr/>
    <w:rPr/>
  </w:style>
  <w:style w:type="paragraph" w:styleId="Caption">
    <w:name w:val="caption"/>
    <w:basedOn w:val="Normal"/>
    <w:qFormat/>
    <w:pPr>
      <w:suppressLineNumbers/>
      <w:spacing w:before="120" w:after="120"/>
    </w:pPr>
    <w:rPr>
      <w:rFonts w:cs="Mangal"/>
      <w:i/>
      <w:iCs/>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arte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ascii="Arial" w:hAnsi="Arial" w:cs="Times New Roman"/>
      <w:b/>
      <w:szCs w:val="20"/>
    </w:rPr>
  </w:style>
  <w:style w:type="paragraph" w:styleId="Quote">
    <w:name w:val="Quote"/>
    <w:basedOn w:val="Normal"/>
    <w:next w:val="Normal"/>
    <w:link w:val="CitaoCarte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fd6ecc"/>
    <w:pPr>
      <w:shd w:val="clear" w:fill="FFFFCC"/>
    </w:pPr>
    <w:rPr>
      <w:szCs w:val="20"/>
    </w:rPr>
  </w:style>
  <w:style w:type="paragraph" w:styleId="Cabealho">
    <w:name w:val="Cabeçalho"/>
    <w:basedOn w:val="Normal"/>
    <w:link w:val="CabealhoCarter"/>
    <w:rsid w:val="00dd4982"/>
    <w:pPr>
      <w:tabs>
        <w:tab w:val="center" w:pos="4252" w:leader="none"/>
        <w:tab w:val="right" w:pos="8504" w:leader="none"/>
      </w:tabs>
    </w:pPr>
    <w:rPr/>
  </w:style>
  <w:style w:type="paragraph" w:styleId="Rodap">
    <w:name w:val="Rodapé"/>
    <w:basedOn w:val="Normal"/>
    <w:link w:val="RodapCarter"/>
    <w:rsid w:val="00dd4982"/>
    <w:pPr>
      <w:tabs>
        <w:tab w:val="center" w:pos="4252" w:leader="none"/>
        <w:tab w:val="right" w:pos="8504" w:leader="none"/>
      </w:tabs>
    </w:pPr>
    <w:rPr/>
  </w:style>
  <w:style w:type="paragraph" w:styleId="Nivel1" w:customStyle="1">
    <w:name w:val="Nivel1"/>
    <w:basedOn w:val="Ttulo1"/>
    <w:next w:val="Normal"/>
    <w:qFormat/>
    <w:rsid w:val="00034856"/>
    <w:pPr>
      <w:spacing w:lineRule="auto" w:line="276" w:before="480" w:after="120"/>
      <w:ind w:left="357" w:hanging="357"/>
      <w:jc w:val="both"/>
    </w:pPr>
    <w:rPr>
      <w:rFonts w:ascii="Arial" w:hAnsi="Arial" w:cs="Arial"/>
      <w:b/>
      <w:color w:val="000000"/>
      <w:sz w:val="20"/>
      <w:szCs w:val="20"/>
    </w:rPr>
  </w:style>
  <w:style w:type="paragraph" w:styleId="Nivel01" w:customStyle="1">
    <w:name w:val="Nivel 01"/>
    <w:basedOn w:val="Ttulo1"/>
    <w:next w:val="Normal"/>
    <w:link w:val="Nivel01Char"/>
    <w:qFormat/>
    <w:rsid w:val="00034856"/>
    <w:pPr>
      <w:tabs>
        <w:tab w:val="left" w:pos="567" w:leader="none"/>
      </w:tabs>
      <w:jc w:val="both"/>
    </w:pPr>
    <w:rPr>
      <w:rFonts w:ascii="Ecofont_Spranq_eco_Sans" w:hAnsi="Ecofont_Spranq_eco_Sans" w:cs="Times New Roman"/>
      <w:b/>
      <w:bCs/>
      <w:color w:val="000000"/>
      <w:sz w:val="20"/>
      <w:szCs w:val="20"/>
    </w:rPr>
  </w:style>
  <w:style w:type="paragraph" w:styleId="Contedodoquadro" w:customStyle="1">
    <w:name w:val="Conteúdo do quadro"/>
    <w:basedOn w:val="Normal"/>
    <w:qFormat/>
    <w:rsid w:val="00ee3332"/>
    <w:pPr>
      <w:widowControl w:val="false"/>
      <w:suppressAutoHyphens w:val="true"/>
      <w:spacing w:before="0" w:after="120"/>
      <w:textAlignment w:val="baseline"/>
    </w:pPr>
    <w:rPr>
      <w:rFonts w:ascii="Times New Roman" w:hAnsi="Times New Roman" w:eastAsia="SimSun, 宋体" w:cs="Mangal"/>
      <w:szCs w:val="21"/>
      <w:lang w:eastAsia="zh-CN" w:bidi="hi-IN"/>
    </w:rPr>
  </w:style>
  <w:style w:type="paragraph" w:styleId="Standard" w:customStyle="1">
    <w:name w:val="Standard"/>
    <w:qFormat/>
    <w:rsid w:val="00045851"/>
    <w:pPr>
      <w:widowControl/>
      <w:suppressAutoHyphens w:val="true"/>
      <w:bidi w:val="0"/>
      <w:jc w:val="left"/>
      <w:textAlignment w:val="baseline"/>
    </w:pPr>
    <w:rPr>
      <w:rFonts w:ascii="Ecofont_Spranq_eco_Sans" w:hAnsi="Ecofont_Spranq_eco_Sans" w:eastAsia="Times New Roman" w:cs="Tahoma"/>
      <w:color w:val="00000A"/>
      <w:sz w:val="24"/>
      <w:szCs w:val="24"/>
      <w:lang w:val="pt-BR" w:eastAsia="pt-BR" w:bidi="ar-SA"/>
    </w:rPr>
  </w:style>
  <w:style w:type="paragraph" w:styleId="Western" w:customStyle="1">
    <w:name w:val="western"/>
    <w:basedOn w:val="Normal"/>
    <w:qFormat/>
    <w:rsid w:val="00ee3332"/>
    <w:pPr>
      <w:spacing w:lineRule="auto" w:line="288" w:beforeAutospacing="1" w:after="142"/>
    </w:pPr>
    <w:rPr>
      <w:rFonts w:cs="Times New Roman"/>
      <w:color w:val="00000A"/>
    </w:rPr>
  </w:style>
  <w:style w:type="paragraph" w:styleId="Citaes" w:customStyle="1">
    <w:name w:val="Citações"/>
    <w:basedOn w:val="Normal"/>
    <w:qFormat/>
    <w:pPr/>
    <w:rPr/>
  </w:style>
  <w:style w:type="paragraph" w:styleId="Subttulo">
    <w:name w:val="Subtítulo"/>
    <w:basedOn w:val="Ttulododocumento"/>
    <w:pPr/>
    <w:rPr/>
  </w:style>
  <w:style w:type="numbering" w:styleId="NoList" w:default="1">
    <w:name w:val="No List"/>
    <w:uiPriority w:val="99"/>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elha">
    <w:name w:val="Table Grid"/>
    <w:basedOn w:val="Tabelanormal"/>
    <w:rsid w:val="00fd6ecc"/>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licitacoesuffs@gmail.com"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uffs.edu.br/" TargetMode="External"/><Relationship Id="rId2" Type="http://schemas.openxmlformats.org/officeDocument/2006/relationships/hyperlink" Target="mailto:licitacoesuffs@gmail.com" TargetMode="Externa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Application>LibreOffice/5.0.0.5$Windows_x86 LibreOffice_project/1b1a90865e348b492231e1c451437d7a15bb262b</Application>
  <Paragraphs>279</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2018-03-13T19:09:00Z</dcterms:created>
  <dc:creator>Adriano</dc:creator>
  <dc:language>pt-BR</dc:language>
  <cp:lastPrinted>2018-04-02T12:16:00Z</cp:lastPrinted>
  <dcterms:modified xsi:type="dcterms:W3CDTF">2018-04-04T10:26:00Z</dcterms:modified>
  <cp:revision>16</cp:revision>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